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0643394" w14:textId="77777777">
      <w:pPr>
        <w:pBdr/>
        <w:spacing/>
        <w:ind/>
        <w:jc w:val="both"/>
        <w:rPr/>
      </w:pPr>
      <w:r/>
      <w:r/>
    </w:p>
    <w:p w14:paraId="3F1B6578" w14:textId="440CE981">
      <w:pPr>
        <w:pBdr/>
        <w:spacing w:after="0" w:line="360" w:lineRule="auto"/>
        <w:ind/>
        <w:jc w:val="both"/>
        <w:rPr>
          <w:rFonts w:ascii="Times New Roman" w:hAnsi="Times New Roman" w:cs="Times New Roman"/>
          <w:b/>
          <w:bCs/>
        </w:rPr>
      </w:pPr>
      <w:r>
        <w:rPr>
          <w:rFonts w:ascii="Times New Roman" w:hAnsi="Times New Roman" w:cs="Times New Roman"/>
          <w:b/>
          <w:bCs/>
        </w:rPr>
        <w:t xml:space="preserve">MANIFESTAZIONE DI INTERESSE PER L’INDIVIDUAZIONE DI PARTNER DI PROGETTO PER LA PARTECIPAZIONE AL BANDO DEL MINISTERO DELLA CULTURA “CULTURA </w:t>
      </w:r>
      <w:r>
        <w:rPr>
          <w:rFonts w:ascii="Times New Roman" w:hAnsi="Times New Roman" w:cs="Times New Roman"/>
          <w:b/>
          <w:bCs/>
        </w:rPr>
        <w:t xml:space="preserve">NEI PICCOLI COMUNI”</w:t>
      </w:r>
      <w:r>
        <w:rPr>
          <w:rFonts w:ascii="Times New Roman" w:hAnsi="Times New Roman" w:cs="Times New Roman"/>
          <w:b/>
          <w:bCs/>
        </w:rPr>
        <w:t xml:space="preserve">- </w:t>
      </w:r>
      <w:r>
        <w:rPr>
          <w:rFonts w:ascii="Times New Roman" w:hAnsi="Times New Roman" w:cs="Times New Roman"/>
          <w:b/>
          <w:bCs/>
        </w:rPr>
        <w:t xml:space="preserve">PROGETTO DEL COMUNE DI MONTERONI DI LECCE “</w:t>
      </w:r>
      <w:r>
        <w:rPr>
          <w:rFonts w:ascii="Times New Roman" w:hAnsi="Times New Roman" w:cs="Times New Roman"/>
          <w:b/>
          <w:bCs/>
        </w:rPr>
        <w:t xml:space="preserve">SOUNDS OF THE WORLD FESTIVAL</w:t>
      </w:r>
      <w:r>
        <w:rPr>
          <w:rFonts w:ascii="Times New Roman" w:hAnsi="Times New Roman" w:cs="Times New Roman"/>
          <w:b/>
          <w:bCs/>
        </w:rPr>
        <w:t xml:space="preserve">”</w:t>
      </w:r>
      <w:r>
        <w:rPr>
          <w:rFonts w:ascii="Times New Roman" w:hAnsi="Times New Roman" w:cs="Times New Roman"/>
          <w:b/>
          <w:bCs/>
        </w:rPr>
      </w:r>
    </w:p>
    <w:p w14:paraId="191088FC" w14:textId="77777777">
      <w:pPr>
        <w:pBdr/>
        <w:spacing w:after="0" w:line="360" w:lineRule="auto"/>
        <w:ind/>
        <w:jc w:val="both"/>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p>
    <w:p w14:paraId="23A8E67F" w14:textId="77F470E7">
      <w:pPr>
        <w:pBdr/>
        <w:spacing w:after="0" w:line="360" w:lineRule="auto"/>
        <w:ind/>
        <w:jc w:val="both"/>
        <w:rPr>
          <w:rFonts w:ascii="Times New Roman" w:hAnsi="Times New Roman" w:cs="Times New Roman"/>
          <w:b/>
          <w:bCs/>
        </w:rPr>
      </w:pPr>
      <w:r>
        <w:rPr>
          <w:rFonts w:ascii="Times New Roman" w:hAnsi="Times New Roman" w:cs="Times New Roman"/>
          <w:b/>
          <w:bCs/>
        </w:rPr>
        <w:t xml:space="preserve">PREMESSO CHE:</w:t>
      </w:r>
      <w:r>
        <w:rPr>
          <w:rFonts w:ascii="Times New Roman" w:hAnsi="Times New Roman" w:cs="Times New Roman"/>
          <w:b/>
          <w:bCs/>
        </w:rPr>
      </w:r>
    </w:p>
    <w:p w14:paraId="6CC998AC" w14:textId="77777777">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t xml:space="preserve">La Direzione Generale Creatività Contemporanea del Ministero della Cultura ha lanciato in data 22 giugno 2026 l’avviso pubblico </w:t>
      </w:r>
      <w:r>
        <w:rPr>
          <w:rFonts w:ascii="Times New Roman" w:hAnsi="Times New Roman" w:cs="Times New Roman"/>
        </w:rPr>
        <w:t xml:space="preserve">“</w:t>
      </w:r>
      <w:r>
        <w:rPr>
          <w:rFonts w:ascii="Times New Roman" w:hAnsi="Times New Roman" w:cs="Times New Roman"/>
        </w:rPr>
        <w:t xml:space="preserve">Cultura nei piccoli comuni (edizione 1</w:t>
      </w:r>
      <w:r>
        <w:rPr>
          <w:rFonts w:ascii="Times New Roman" w:hAnsi="Times New Roman" w:cs="Times New Roman"/>
        </w:rPr>
        <w:t xml:space="preserve">)</w:t>
      </w:r>
      <w:r>
        <w:rPr>
          <w:rFonts w:ascii="Times New Roman" w:hAnsi="Times New Roman" w:cs="Times New Roman"/>
        </w:rPr>
        <w:t xml:space="preserve">”</w:t>
      </w:r>
      <w:r>
        <w:rPr>
          <w:rFonts w:ascii="Times New Roman" w:hAnsi="Times New Roman" w:cs="Times New Roman"/>
        </w:rPr>
        <w:t xml:space="preserve"> al fine di valorizzare e promuovere </w:t>
      </w:r>
      <w:r>
        <w:rPr>
          <w:rFonts w:ascii="Times New Roman" w:hAnsi="Times New Roman" w:cs="Times New Roman"/>
        </w:rPr>
        <w:t xml:space="preserve">progetti</w:t>
      </w:r>
      <w:r>
        <w:rPr>
          <w:rFonts w:ascii="Times New Roman" w:hAnsi="Times New Roman" w:cs="Times New Roman"/>
        </w:rPr>
        <w:t xml:space="preserve"> culturali nei comuni con popolazione inferiore a 25.000 abitanti;</w:t>
      </w:r>
      <w:r>
        <w:rPr>
          <w:rFonts w:ascii="Times New Roman" w:hAnsi="Times New Roman" w:cs="Times New Roman"/>
        </w:rPr>
      </w:r>
    </w:p>
    <w:p w14:paraId="0F898735" w14:textId="0CF2EFDB">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t xml:space="preserve">L’avviso pubblico, promosso dall’Unità di missione per</w:t>
      </w:r>
      <w:r>
        <w:rPr>
          <w:rFonts w:ascii="Times New Roman" w:hAnsi="Times New Roman" w:cs="Times New Roman"/>
        </w:rPr>
        <w:t xml:space="preserve"> la cooperazione culturale con l’Africa e il Mediterraneo allargato, dal Piano Olivetti per la Cultura e dalla Direzione Generale Creatività Contemporanea del Ministero della Cultura, con il supporto tecnico e amministrativo di ALES, Arte Lavoro e Servizi </w:t>
      </w:r>
      <w:r>
        <w:rPr>
          <w:rFonts w:ascii="Times New Roman" w:hAnsi="Times New Roman" w:cs="Times New Roman"/>
        </w:rPr>
        <w:t xml:space="preserve">S.p.A</w:t>
      </w:r>
      <w:r>
        <w:rPr>
          <w:rFonts w:ascii="Times New Roman" w:hAnsi="Times New Roman" w:cs="Times New Roman"/>
        </w:rPr>
        <w:t xml:space="preserve">, si inserisce nel quadro delle politiche nazionali di rigenerazione</w:t>
      </w:r>
      <w:r>
        <w:rPr>
          <w:rFonts w:ascii="Times New Roman" w:hAnsi="Times New Roman" w:cs="Times New Roman"/>
        </w:rPr>
        <w:t xml:space="preserve"> culturale e sviluppo territoriale, valorizzando la cultura come strumento per rafforzare la coesione sociale, stimolare l’innovazione locale, favorire la partecipazione dei cittadini, sostenere l’economia e migliorare la qualità della vita delle comunità;</w:t>
      </w:r>
      <w:r>
        <w:rPr>
          <w:rFonts w:ascii="Times New Roman" w:hAnsi="Times New Roman" w:cs="Times New Roman"/>
        </w:rPr>
      </w:r>
    </w:p>
    <w:p w14:paraId="798C093C" w14:textId="4A854E8F">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t xml:space="preserve">L’iniziativa mira a sostenere e valorizzare la vitalità </w:t>
      </w:r>
      <w:r>
        <w:rPr>
          <w:rFonts w:ascii="Times New Roman" w:hAnsi="Times New Roman" w:cs="Times New Roman"/>
        </w:rPr>
        <w:t xml:space="preserve">culturale dei piccoli comuni italiani, favorendo la coesione sociale, la partecipazione civica e la tutela dell’identità dei territori, la marginalizzazione delle aree interne e promuovendo un accesso più equo alla cultura su tutto il territorio nazionale;</w:t>
      </w:r>
      <w:r>
        <w:rPr>
          <w:rFonts w:ascii="Times New Roman" w:hAnsi="Times New Roman" w:cs="Times New Roman"/>
        </w:rPr>
      </w:r>
    </w:p>
    <w:p w14:paraId="0C4B4D7E" w14:textId="37F93701">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t xml:space="preserve">Sono ammessi a partecipare al presente avviso pubblico esclusivamente i comuni italiani con popolazione residente </w:t>
      </w:r>
      <w:r>
        <w:rPr>
          <w:rFonts w:ascii="Times New Roman" w:hAnsi="Times New Roman" w:cs="Times New Roman"/>
        </w:rPr>
        <w:t xml:space="preserve">al di sotto dei</w:t>
      </w:r>
      <w:r>
        <w:rPr>
          <w:rFonts w:ascii="Times New Roman" w:hAnsi="Times New Roman" w:cs="Times New Roman"/>
        </w:rPr>
        <w:t xml:space="preserve"> 25.000 abitanti (sulla base dei dati ISTAT riferiti al 01/01/2025);</w:t>
      </w:r>
      <w:r>
        <w:rPr>
          <w:rFonts w:ascii="Times New Roman" w:hAnsi="Times New Roman" w:cs="Times New Roman"/>
        </w:rPr>
      </w:r>
    </w:p>
    <w:p w14:paraId="766D2B13" w14:textId="77777777">
      <w:pPr>
        <w:pStyle w:val="843"/>
        <w:numPr>
          <w:ilvl w:val="0"/>
          <w:numId w:val="3"/>
        </w:numPr>
        <w:pBdr/>
        <w:spacing w:after="0" w:line="360" w:lineRule="auto"/>
        <w:ind/>
        <w:jc w:val="both"/>
        <w:rPr>
          <w:rFonts w:ascii="Times New Roman" w:hAnsi="Times New Roman" w:cs="Times New Roman"/>
        </w:rPr>
      </w:pPr>
      <w:r>
        <w:rPr>
          <w:rFonts w:ascii="Times New Roman" w:hAnsi="Times New Roman" w:cs="Times New Roman"/>
        </w:rPr>
        <w:t xml:space="preserve">l’</w:t>
      </w:r>
      <w:r>
        <w:rPr>
          <w:rFonts w:ascii="Times New Roman" w:hAnsi="Times New Roman" w:cs="Times New Roman"/>
        </w:rPr>
        <w:t xml:space="preserve">Avviso finanzia proposte progettuali per la realizzazione di attività riconducibili alle seguenti Linee di intervento:</w:t>
      </w:r>
      <w:r>
        <w:rPr>
          <w:rFonts w:ascii="Times New Roman" w:hAnsi="Times New Roman" w:cs="Times New Roman"/>
        </w:rPr>
      </w:r>
    </w:p>
    <w:p w14:paraId="551A7FBF" w14:textId="77777777">
      <w:pPr>
        <w:pStyle w:val="843"/>
        <w:numPr>
          <w:ilvl w:val="1"/>
          <w:numId w:val="8"/>
        </w:numPr>
        <w:pBdr/>
        <w:spacing w:after="0" w:line="360" w:lineRule="auto"/>
        <w:ind/>
        <w:jc w:val="both"/>
        <w:rPr>
          <w:rFonts w:ascii="Times New Roman" w:hAnsi="Times New Roman" w:cs="Times New Roman"/>
        </w:rPr>
      </w:pPr>
      <w:r>
        <w:rPr>
          <w:rFonts w:ascii="Times New Roman" w:hAnsi="Times New Roman" w:cs="Times New Roman"/>
        </w:rPr>
        <w:t xml:space="preserve">attività</w:t>
      </w:r>
      <w:r>
        <w:rPr>
          <w:rFonts w:ascii="Times New Roman" w:hAnsi="Times New Roman" w:cs="Times New Roman"/>
        </w:rPr>
        <w:t xml:space="preserve">, mostre, eventi e rassegne – produzione culturale;</w:t>
      </w:r>
      <w:r>
        <w:rPr>
          <w:rFonts w:ascii="Times New Roman" w:hAnsi="Times New Roman" w:cs="Times New Roman"/>
        </w:rPr>
      </w:r>
    </w:p>
    <w:p w14:paraId="74A3A85C" w14:textId="77777777">
      <w:pPr>
        <w:numPr>
          <w:ilvl w:val="1"/>
          <w:numId w:val="8"/>
        </w:numPr>
        <w:pBdr/>
        <w:spacing w:after="0" w:line="360" w:lineRule="auto"/>
        <w:ind/>
        <w:jc w:val="both"/>
        <w:rPr>
          <w:rFonts w:ascii="Times New Roman" w:hAnsi="Times New Roman" w:cs="Times New Roman"/>
        </w:rPr>
      </w:pPr>
      <w:r>
        <w:rPr>
          <w:rFonts w:ascii="Times New Roman" w:hAnsi="Times New Roman" w:cs="Times New Roman"/>
        </w:rPr>
        <w:t xml:space="preserve">eventi</w:t>
      </w:r>
      <w:r>
        <w:rPr>
          <w:rFonts w:ascii="Times New Roman" w:hAnsi="Times New Roman" w:cs="Times New Roman"/>
        </w:rPr>
        <w:t xml:space="preserve"> di confronto e partecipazione;</w:t>
      </w:r>
      <w:r>
        <w:rPr>
          <w:rFonts w:ascii="Times New Roman" w:hAnsi="Times New Roman" w:cs="Times New Roman"/>
        </w:rPr>
      </w:r>
    </w:p>
    <w:p w14:paraId="457ED9CB" w14:textId="77777777">
      <w:pPr>
        <w:numPr>
          <w:ilvl w:val="1"/>
          <w:numId w:val="8"/>
        </w:numPr>
        <w:pBdr/>
        <w:spacing w:after="0" w:line="360" w:lineRule="auto"/>
        <w:ind/>
        <w:jc w:val="both"/>
        <w:rPr>
          <w:rFonts w:ascii="Times New Roman" w:hAnsi="Times New Roman" w:cs="Times New Roman"/>
        </w:rPr>
      </w:pPr>
      <w:r>
        <w:rPr>
          <w:rFonts w:ascii="Times New Roman" w:hAnsi="Times New Roman" w:cs="Times New Roman"/>
        </w:rPr>
        <w:t xml:space="preserve">formazione</w:t>
      </w:r>
      <w:r>
        <w:rPr>
          <w:rFonts w:ascii="Times New Roman" w:hAnsi="Times New Roman" w:cs="Times New Roman"/>
        </w:rPr>
        <w:t xml:space="preserve"> e accompagnamento percorsi innovativi;</w:t>
      </w:r>
      <w:r>
        <w:rPr>
          <w:rFonts w:ascii="Times New Roman" w:hAnsi="Times New Roman" w:cs="Times New Roman"/>
        </w:rPr>
      </w:r>
    </w:p>
    <w:p w14:paraId="2E760AB4" w14:textId="77777777">
      <w:pPr>
        <w:numPr>
          <w:ilvl w:val="1"/>
          <w:numId w:val="8"/>
        </w:numPr>
        <w:pBdr/>
        <w:spacing w:after="0" w:line="360" w:lineRule="auto"/>
        <w:ind/>
        <w:jc w:val="both"/>
        <w:rPr>
          <w:rFonts w:ascii="Times New Roman" w:hAnsi="Times New Roman" w:cs="Times New Roman"/>
        </w:rPr>
      </w:pPr>
      <w:r>
        <w:rPr>
          <w:rFonts w:ascii="Times New Roman" w:hAnsi="Times New Roman" w:cs="Times New Roman"/>
        </w:rPr>
        <w:t xml:space="preserve">valorizzazione</w:t>
      </w:r>
      <w:r>
        <w:rPr>
          <w:rFonts w:ascii="Times New Roman" w:hAnsi="Times New Roman" w:cs="Times New Roman"/>
        </w:rPr>
        <w:t xml:space="preserve"> patrimonio materiale e immateriale</w:t>
      </w:r>
      <w:r>
        <w:rPr>
          <w:rFonts w:ascii="Times New Roman" w:hAnsi="Times New Roman" w:cs="Times New Roman"/>
        </w:rPr>
      </w:r>
    </w:p>
    <w:p w14:paraId="73CA79D3" w14:textId="39BF62A9">
      <w:pPr>
        <w:numPr>
          <w:ilvl w:val="1"/>
          <w:numId w:val="8"/>
        </w:numPr>
        <w:pBdr/>
        <w:spacing w:after="0" w:line="360" w:lineRule="auto"/>
        <w:ind/>
        <w:jc w:val="both"/>
        <w:rPr>
          <w:rFonts w:ascii="Times New Roman" w:hAnsi="Times New Roman" w:cs="Times New Roman"/>
        </w:rPr>
      </w:pPr>
      <w:r>
        <w:rPr>
          <w:rFonts w:ascii="Times New Roman" w:hAnsi="Times New Roman" w:cs="Times New Roman"/>
        </w:rPr>
        <w:t xml:space="preserve">piattaforme</w:t>
      </w:r>
      <w:r>
        <w:rPr>
          <w:rFonts w:ascii="Times New Roman" w:hAnsi="Times New Roman" w:cs="Times New Roman"/>
        </w:rPr>
        <w:t xml:space="preserve"> e/o applicativi digitali e strumenti di comunicazione;</w:t>
      </w:r>
      <w:r>
        <w:rPr>
          <w:rFonts w:ascii="Times New Roman" w:hAnsi="Times New Roman" w:cs="Times New Roman"/>
        </w:rPr>
      </w:r>
    </w:p>
    <w:p w14:paraId="39B0858C" w14:textId="77777777">
      <w:pPr>
        <w:pStyle w:val="843"/>
        <w:numPr>
          <w:ilvl w:val="0"/>
          <w:numId w:val="3"/>
        </w:numPr>
        <w:pBdr/>
        <w:spacing w:after="0" w:line="360" w:lineRule="auto"/>
        <w:ind/>
        <w:jc w:val="both"/>
        <w:rPr>
          <w:rFonts w:ascii="Times New Roman" w:hAnsi="Times New Roman" w:cs="Times New Roman"/>
        </w:rPr>
      </w:pPr>
      <w:r>
        <w:rPr>
          <w:rFonts w:ascii="Times New Roman" w:hAnsi="Times New Roman" w:cs="Times New Roman"/>
        </w:rPr>
        <w:t xml:space="preserve">le</w:t>
      </w:r>
      <w:r>
        <w:rPr>
          <w:rFonts w:ascii="Times New Roman" w:hAnsi="Times New Roman" w:cs="Times New Roman"/>
        </w:rPr>
        <w:t xml:space="preserve"> proposte progettuali devono configurarsi come strumenti operativi di valorizzazione e rigenerazione culturale dei territori, finalizzati al rafforzamento dell’offerta culturale e alla promozione di processi di sviluppo sociale ed economico</w:t>
      </w:r>
      <w:r>
        <w:rPr>
          <w:rFonts w:ascii="Times New Roman" w:hAnsi="Times New Roman" w:cs="Times New Roman"/>
        </w:rPr>
        <w:t xml:space="preserve">;</w:t>
      </w:r>
      <w:r>
        <w:rPr>
          <w:rFonts w:ascii="Times New Roman" w:hAnsi="Times New Roman" w:cs="Times New Roman"/>
        </w:rPr>
      </w:r>
    </w:p>
    <w:p w14:paraId="427DFD5A" w14:textId="44000E79">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l</w:t>
      </w:r>
      <w:r>
        <w:rPr>
          <w:rFonts w:ascii="Times New Roman" w:hAnsi="Times New Roman" w:cs="Times New Roman"/>
        </w:rPr>
        <w:t xml:space="preserve">e</w:t>
      </w:r>
      <w:r>
        <w:rPr>
          <w:rFonts w:ascii="Times New Roman" w:hAnsi="Times New Roman" w:cs="Times New Roman"/>
        </w:rPr>
        <w:t xml:space="preserve"> proposte progettuali dovranno garantire un effettivo coinvolgimento delle comunità locali e del pubblico, in coerenza con le specifiche caratteristiche e potenzialità del territorio di riferimento;</w:t>
      </w:r>
      <w:r>
        <w:rPr>
          <w:rFonts w:ascii="Times New Roman" w:hAnsi="Times New Roman" w:cs="Times New Roman"/>
        </w:rPr>
      </w:r>
    </w:p>
    <w:p w14:paraId="3FE896A4" w14:textId="33564A92">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14:paraId="58E7F070" w14:textId="37F70728">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t xml:space="preserve">Il comune può presentare la candidatura </w:t>
      </w:r>
      <w:r>
        <w:rPr>
          <w:rFonts w:ascii="Times New Roman" w:hAnsi="Times New Roman" w:cs="Times New Roman"/>
        </w:rPr>
        <w:t xml:space="preserve">in qualità di</w:t>
      </w:r>
      <w:r>
        <w:rPr>
          <w:rFonts w:ascii="Times New Roman" w:hAnsi="Times New Roman" w:cs="Times New Roman"/>
        </w:rPr>
        <w:t xml:space="preserve">: proponente singolo, il soggetto presenta il progetto e lo realizza autonomamente; in forma associata, come rete di comuni, costituita o costituenda, individuando un comune capofila;</w:t>
      </w:r>
      <w:r>
        <w:rPr>
          <w:rFonts w:ascii="Times New Roman" w:hAnsi="Times New Roman" w:cs="Times New Roman"/>
        </w:rPr>
      </w:r>
    </w:p>
    <w:p w14:paraId="54FFD0E1" w14:textId="57F55378">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t xml:space="preserve">Il comune proponente deve presentare una proposta che preveda il coinvolgimento di almeno un partner di progetto, costituito o costituendo, che rientri in una delle seguenti tipologie di soggetti non profit:</w:t>
      </w:r>
      <w:r>
        <w:rPr>
          <w:rFonts w:ascii="Times New Roman" w:hAnsi="Times New Roman" w:cs="Times New Roman"/>
        </w:rPr>
      </w:r>
    </w:p>
    <w:p w14:paraId="6E977DA5" w14:textId="77777777">
      <w:pPr>
        <w:numPr>
          <w:ilvl w:val="1"/>
          <w:numId w:val="2"/>
        </w:numPr>
        <w:pBdr/>
        <w:spacing w:after="0" w:line="360" w:lineRule="auto"/>
        <w:ind/>
        <w:jc w:val="both"/>
        <w:rPr>
          <w:rFonts w:ascii="Times New Roman" w:hAnsi="Times New Roman" w:cs="Times New Roman"/>
        </w:rPr>
      </w:pPr>
      <w:r>
        <w:rPr>
          <w:rFonts w:ascii="Times New Roman" w:hAnsi="Times New Roman" w:cs="Times New Roman"/>
        </w:rPr>
        <w:t xml:space="preserve">amministrazioni</w:t>
      </w:r>
      <w:r>
        <w:rPr>
          <w:rFonts w:ascii="Times New Roman" w:hAnsi="Times New Roman" w:cs="Times New Roman"/>
        </w:rPr>
        <w:t xml:space="preserve"> pubbliche e enti pubblici istituiti ai sensi della normativa vigente;</w:t>
      </w:r>
      <w:r>
        <w:rPr>
          <w:rFonts w:ascii="Times New Roman" w:hAnsi="Times New Roman" w:cs="Times New Roman"/>
        </w:rPr>
      </w:r>
    </w:p>
    <w:p w14:paraId="402683D2" w14:textId="77777777">
      <w:pPr>
        <w:numPr>
          <w:ilvl w:val="1"/>
          <w:numId w:val="2"/>
        </w:numPr>
        <w:pBdr/>
        <w:spacing w:after="0" w:line="360" w:lineRule="auto"/>
        <w:ind/>
        <w:jc w:val="both"/>
        <w:rPr>
          <w:rFonts w:ascii="Times New Roman" w:hAnsi="Times New Roman" w:cs="Times New Roman"/>
        </w:rPr>
      </w:pPr>
      <w:r>
        <w:rPr>
          <w:rFonts w:ascii="Times New Roman" w:hAnsi="Times New Roman" w:cs="Times New Roman"/>
        </w:rPr>
        <w:t xml:space="preserve">enti</w:t>
      </w:r>
      <w:r>
        <w:rPr>
          <w:rFonts w:ascii="Times New Roman" w:hAnsi="Times New Roman" w:cs="Times New Roman"/>
        </w:rPr>
        <w:t xml:space="preserve"> del Terzo Settore di cui al D.lgs. 117/2017 iscritti o in corso di iscrizione al RUNTS;</w:t>
      </w:r>
      <w:r>
        <w:rPr>
          <w:rFonts w:ascii="Times New Roman" w:hAnsi="Times New Roman" w:cs="Times New Roman"/>
        </w:rPr>
      </w:r>
    </w:p>
    <w:p w14:paraId="6C5BEBD9" w14:textId="209BE53C">
      <w:pPr>
        <w:numPr>
          <w:ilvl w:val="1"/>
          <w:numId w:val="2"/>
        </w:numPr>
        <w:pBdr/>
        <w:spacing w:after="0" w:line="360" w:lineRule="auto"/>
        <w:ind/>
        <w:jc w:val="both"/>
        <w:rPr>
          <w:rFonts w:ascii="Times New Roman" w:hAnsi="Times New Roman" w:cs="Times New Roman"/>
        </w:rPr>
      </w:pPr>
      <w:r>
        <w:rPr>
          <w:rFonts w:ascii="Times New Roman" w:hAnsi="Times New Roman" w:cs="Times New Roman"/>
        </w:rPr>
        <w:t xml:space="preserve">associazioni</w:t>
      </w:r>
      <w:r>
        <w:rPr>
          <w:rFonts w:ascii="Times New Roman" w:hAnsi="Times New Roman" w:cs="Times New Roman"/>
        </w:rPr>
        <w:t xml:space="preserve"> o comitati costituiti ai sensi del Codice civile, dotati di atto costitutivo registrato presso l’Agenzia delle Entrate e di codice fiscale.</w:t>
      </w:r>
      <w:r>
        <w:rPr>
          <w:rFonts w:ascii="Times New Roman" w:hAnsi="Times New Roman" w:cs="Times New Roman"/>
        </w:rPr>
      </w:r>
    </w:p>
    <w:p w14:paraId="1D73DDAB" w14:textId="39AD7278">
      <w:pPr>
        <w:numPr>
          <w:ilvl w:val="0"/>
          <w:numId w:val="2"/>
        </w:numPr>
        <w:pBdr/>
        <w:spacing w:after="0" w:line="360" w:lineRule="auto"/>
        <w:ind/>
        <w:jc w:val="both"/>
        <w:rPr>
          <w:rFonts w:ascii="Times New Roman" w:hAnsi="Times New Roman" w:cs="Times New Roman"/>
        </w:rPr>
      </w:pPr>
      <w:r>
        <w:rPr>
          <w:rFonts w:ascii="Times New Roman" w:hAnsi="Times New Roman" w:cs="Times New Roman"/>
        </w:rPr>
        <w:t xml:space="preserve">Le candidature devono essere inviate esclusivamente tramite il Portale Bandi della Direzione Generale Creatività Contemporanea, entro la data del 31 agosto 2026 ore 12.00 (</w:t>
      </w:r>
      <w:r>
        <w:rPr>
          <w:rFonts w:ascii="Times New Roman" w:hAnsi="Times New Roman" w:cs="Times New Roman"/>
        </w:rPr>
        <w:t xml:space="preserve">ora</w:t>
      </w:r>
      <w:r>
        <w:rPr>
          <w:rFonts w:ascii="Times New Roman" w:hAnsi="Times New Roman" w:cs="Times New Roman"/>
        </w:rPr>
        <w:t xml:space="preserve"> italiana);</w:t>
      </w:r>
      <w:r>
        <w:rPr>
          <w:rFonts w:ascii="Times New Roman" w:hAnsi="Times New Roman" w:cs="Times New Roman"/>
        </w:rPr>
      </w:r>
    </w:p>
    <w:p w14:paraId="219F5108" w14:textId="77777777">
      <w:pPr>
        <w:pBdr/>
        <w:spacing w:after="0" w:line="360" w:lineRule="auto"/>
        <w:ind/>
        <w:jc w:val="both"/>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p>
    <w:p w14:paraId="2D250AFE" w14:textId="66B095B2">
      <w:pPr>
        <w:pBdr/>
        <w:spacing w:after="0" w:line="360" w:lineRule="auto"/>
        <w:ind/>
        <w:jc w:val="both"/>
        <w:rPr>
          <w:rFonts w:ascii="Times New Roman" w:hAnsi="Times New Roman" w:cs="Times New Roman"/>
        </w:rPr>
      </w:pPr>
      <w:r>
        <w:rPr>
          <w:rFonts w:ascii="Times New Roman" w:hAnsi="Times New Roman" w:cs="Times New Roman"/>
          <w:b/>
          <w:bCs/>
        </w:rPr>
        <w:t xml:space="preserve">CONSIDERATO CHE</w:t>
      </w:r>
      <w:r>
        <w:rPr>
          <w:rFonts w:ascii="Times New Roman" w:hAnsi="Times New Roman" w:cs="Times New Roman"/>
          <w:b/>
          <w:bCs/>
        </w:rPr>
        <w:t xml:space="preserve">:</w:t>
      </w:r>
      <w:r>
        <w:rPr>
          <w:rFonts w:ascii="Times New Roman" w:hAnsi="Times New Roman" w:cs="Times New Roman"/>
        </w:rPr>
      </w:r>
    </w:p>
    <w:p w14:paraId="4E0D46B3" w14:textId="1E584D72">
      <w:pPr>
        <w:pBdr/>
        <w:spacing w:after="0" w:line="360" w:lineRule="auto"/>
        <w:ind/>
        <w:jc w:val="both"/>
        <w:rPr>
          <w:rFonts w:ascii="Times New Roman" w:hAnsi="Times New Roman" w:cs="Times New Roman"/>
        </w:rPr>
      </w:pPr>
      <w:r>
        <w:rPr>
          <w:rFonts w:ascii="Times New Roman" w:hAnsi="Times New Roman" w:cs="Times New Roman"/>
        </w:rPr>
        <w:t xml:space="preserve">Il Comune di Monteroni di Lecce intende candidare all’avviso pubblico in oggetto la proposta progettuale </w:t>
      </w:r>
      <w:r>
        <w:rPr>
          <w:rFonts w:ascii="Times New Roman" w:hAnsi="Times New Roman" w:cs="Times New Roman"/>
        </w:rPr>
        <w:t xml:space="preserve">“SOUNDS OF THE WORLD FESTIVAL”</w:t>
      </w:r>
      <w:r>
        <w:rPr>
          <w:rFonts w:ascii="Times New Roman" w:hAnsi="Times New Roman" w:cs="Times New Roman"/>
        </w:rPr>
        <w:t xml:space="preserve">, che punta a valorizzare le esperienze musicali internazionali </w:t>
      </w:r>
      <w:r>
        <w:rPr>
          <w:rFonts w:ascii="Times New Roman" w:hAnsi="Times New Roman" w:cs="Times New Roman"/>
        </w:rPr>
        <w:t xml:space="preserve">a partire dal</w:t>
      </w:r>
      <w:r>
        <w:rPr>
          <w:rFonts w:ascii="Times New Roman" w:hAnsi="Times New Roman" w:cs="Times New Roman"/>
        </w:rPr>
        <w:t xml:space="preserve"> territorio di Monteroni di Lecce, promuovendo la realizzazione di festival, eventi culturali e laboratori di </w:t>
      </w:r>
      <w:r>
        <w:rPr>
          <w:rFonts w:ascii="Times New Roman" w:hAnsi="Times New Roman" w:cs="Times New Roman"/>
          <w:i/>
        </w:rPr>
        <w:t xml:space="preserve">open </w:t>
      </w:r>
      <w:r>
        <w:rPr>
          <w:rFonts w:ascii="Times New Roman" w:hAnsi="Times New Roman" w:cs="Times New Roman"/>
          <w:i/>
        </w:rPr>
        <w:t xml:space="preserve">innovation</w:t>
      </w:r>
      <w:r>
        <w:rPr>
          <w:rFonts w:ascii="Times New Roman" w:hAnsi="Times New Roman" w:cs="Times New Roman"/>
        </w:rPr>
        <w:t xml:space="preserve"> che puntino sulla valorizzazione delle competenze e delle professioni dell’industria culturale musicale</w:t>
      </w:r>
      <w:r>
        <w:rPr>
          <w:rFonts w:ascii="Times New Roman" w:hAnsi="Times New Roman" w:cs="Times New Roman"/>
        </w:rPr>
      </w:r>
    </w:p>
    <w:p w14:paraId="01238E97" w14:textId="3C9FCDF4">
      <w:pPr>
        <w:pBdr/>
        <w:spacing w:after="0" w:line="360" w:lineRule="auto"/>
        <w:ind/>
        <w:jc w:val="center"/>
        <w:rPr>
          <w:rFonts w:ascii="Times New Roman" w:hAnsi="Times New Roman" w:cs="Times New Roman"/>
          <w:b/>
          <w:bCs/>
        </w:rPr>
      </w:pPr>
      <w:r>
        <w:rPr>
          <w:rFonts w:ascii="Times New Roman" w:hAnsi="Times New Roman" w:cs="Times New Roman"/>
          <w:b/>
          <w:bCs/>
        </w:rPr>
        <w:t xml:space="preserve">SI </w:t>
      </w:r>
      <w:r>
        <w:rPr>
          <w:rFonts w:ascii="Times New Roman" w:hAnsi="Times New Roman" w:cs="Times New Roman"/>
          <w:b/>
          <w:bCs/>
        </w:rPr>
        <w:t xml:space="preserve">RENDE NOTO</w:t>
      </w:r>
      <w:r>
        <w:rPr>
          <w:rFonts w:ascii="Times New Roman" w:hAnsi="Times New Roman" w:cs="Times New Roman"/>
          <w:b/>
          <w:bCs/>
        </w:rPr>
      </w:r>
    </w:p>
    <w:p w14:paraId="4AE59F09" w14:textId="30EE7B83">
      <w:pPr>
        <w:pBdr/>
        <w:spacing w:after="0" w:line="360" w:lineRule="auto"/>
        <w:ind/>
        <w:jc w:val="both"/>
        <w:rPr>
          <w:rFonts w:ascii="Times New Roman" w:hAnsi="Times New Roman" w:cs="Times New Roman"/>
        </w:rPr>
      </w:pPr>
      <w:r>
        <w:rPr>
          <w:rFonts w:ascii="Times New Roman" w:hAnsi="Times New Roman" w:cs="Times New Roman"/>
        </w:rPr>
        <w:t xml:space="preserve">che</w:t>
      </w:r>
      <w:r>
        <w:rPr>
          <w:rFonts w:ascii="Times New Roman" w:hAnsi="Times New Roman" w:cs="Times New Roman"/>
        </w:rPr>
        <w:t xml:space="preserve"> il Comune di Monteroni di Lecce ricerca </w:t>
      </w:r>
      <w:r>
        <w:rPr>
          <w:rFonts w:ascii="Times New Roman" w:hAnsi="Times New Roman" w:cs="Times New Roman"/>
          <w:b/>
          <w:bCs/>
          <w:u w:val="single"/>
        </w:rPr>
        <w:t xml:space="preserve">partner</w:t>
      </w:r>
      <w:r>
        <w:rPr>
          <w:rFonts w:ascii="Times New Roman" w:hAnsi="Times New Roman" w:cs="Times New Roman"/>
        </w:rPr>
        <w:t xml:space="preserve"> per la co-progettazione </w:t>
      </w:r>
      <w:r>
        <w:rPr>
          <w:rFonts w:ascii="Times New Roman" w:hAnsi="Times New Roman" w:cs="Times New Roman"/>
        </w:rPr>
        <w:t xml:space="preserve">della</w:t>
      </w:r>
      <w:r>
        <w:rPr>
          <w:rFonts w:ascii="Times New Roman" w:hAnsi="Times New Roman" w:cs="Times New Roman"/>
        </w:rPr>
        <w:t xml:space="preserve"> proposta progettuale </w:t>
      </w:r>
      <w:r>
        <w:rPr>
          <w:rFonts w:ascii="Times New Roman" w:hAnsi="Times New Roman" w:cs="Times New Roman"/>
        </w:rPr>
        <w:t xml:space="preserve">“SOUNDS OF THE WORLD FESTIVAL”</w:t>
      </w:r>
      <w:r>
        <w:rPr>
          <w:rFonts w:ascii="Times New Roman" w:hAnsi="Times New Roman" w:cs="Times New Roman"/>
        </w:rPr>
        <w:t xml:space="preserve"> </w:t>
      </w:r>
      <w:r>
        <w:rPr>
          <w:rFonts w:ascii="Times New Roman" w:hAnsi="Times New Roman" w:cs="Times New Roman"/>
        </w:rPr>
        <w:t xml:space="preserve">da candidare all’avviso pubblico del Ministero della Cultura denominato “</w:t>
      </w:r>
      <w:r>
        <w:rPr>
          <w:rFonts w:ascii="Times New Roman" w:hAnsi="Times New Roman" w:cs="Times New Roman"/>
        </w:rPr>
        <w:t xml:space="preserve">CULTURA NEI PICCOLI COMUNI</w:t>
      </w:r>
      <w:r>
        <w:rPr>
          <w:rFonts w:ascii="Times New Roman" w:hAnsi="Times New Roman" w:cs="Times New Roman"/>
        </w:rPr>
        <w:t xml:space="preserve"> (edizione 1)</w:t>
      </w:r>
      <w:r>
        <w:rPr>
          <w:rFonts w:ascii="Times New Roman" w:hAnsi="Times New Roman" w:cs="Times New Roman"/>
          <w:i/>
        </w:rPr>
        <w:t xml:space="preserve">” </w:t>
      </w:r>
      <w:r>
        <w:rPr>
          <w:rFonts w:ascii="Times New Roman" w:hAnsi="Times New Roman" w:cs="Times New Roman"/>
        </w:rPr>
        <w:t xml:space="preserve">di cui il Decreto n. 286 del 22/06/2026 della Direzione Generale Creatività Contemporanea.</w:t>
      </w:r>
      <w:r>
        <w:rPr>
          <w:rFonts w:ascii="Times New Roman" w:hAnsi="Times New Roman" w:cs="Times New Roman"/>
        </w:rPr>
      </w:r>
    </w:p>
    <w:p w14:paraId="3A79D76A" w14:textId="77777777">
      <w:pPr>
        <w:pBdr/>
        <w:spacing w:after="0" w:line="360" w:lineRule="auto"/>
        <w:ind/>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14:paraId="2E5B0F06" w14:textId="03C49360">
      <w:pPr>
        <w:pBdr/>
        <w:spacing w:after="0" w:line="360" w:lineRule="auto"/>
        <w:ind/>
        <w:jc w:val="both"/>
        <w:rPr>
          <w:rFonts w:ascii="Times New Roman" w:hAnsi="Times New Roman" w:cs="Times New Roman"/>
          <w:b/>
          <w:bCs/>
        </w:rPr>
      </w:pPr>
      <w:r>
        <w:rPr>
          <w:rFonts w:ascii="Times New Roman" w:hAnsi="Times New Roman" w:cs="Times New Roman"/>
          <w:b/>
          <w:bCs/>
        </w:rPr>
        <w:t xml:space="preserve">Art. 1 – Oggetto dell’Avviso</w:t>
      </w:r>
      <w:r>
        <w:rPr>
          <w:rFonts w:ascii="Times New Roman" w:hAnsi="Times New Roman" w:cs="Times New Roman"/>
          <w:b/>
          <w:bCs/>
        </w:rPr>
      </w:r>
    </w:p>
    <w:p w14:paraId="563E9DA3" w14:textId="429ACA29">
      <w:pPr>
        <w:pBdr/>
        <w:spacing w:after="0" w:line="360" w:lineRule="auto"/>
        <w:ind/>
        <w:jc w:val="both"/>
        <w:rPr>
          <w:rFonts w:ascii="Times New Roman" w:hAnsi="Times New Roman" w:cs="Times New Roman"/>
        </w:rPr>
      </w:pPr>
      <w:r>
        <w:rPr>
          <w:rFonts w:ascii="Times New Roman" w:hAnsi="Times New Roman" w:cs="Times New Roman"/>
        </w:rPr>
        <w:t xml:space="preserve">Il presente Avviso è finalizzato all’acquisizione di manifestazioni </w:t>
      </w:r>
      <w:r>
        <w:rPr>
          <w:rFonts w:ascii="Times New Roman" w:hAnsi="Times New Roman" w:cs="Times New Roman"/>
        </w:rPr>
        <w:t xml:space="preserve">di </w:t>
      </w:r>
      <w:r>
        <w:rPr>
          <w:rFonts w:ascii="Times New Roman" w:hAnsi="Times New Roman" w:cs="Times New Roman"/>
        </w:rPr>
        <w:t xml:space="preserve">interesse da parte di soggetti pubblici e privati per la co-progettazione e la costituzione di un partenariato </w:t>
      </w:r>
      <w:r>
        <w:rPr>
          <w:rFonts w:ascii="Times New Roman" w:hAnsi="Times New Roman" w:cs="Times New Roman"/>
        </w:rPr>
        <w:t xml:space="preserve">del</w:t>
      </w:r>
      <w:r>
        <w:rPr>
          <w:rFonts w:ascii="Times New Roman" w:hAnsi="Times New Roman" w:cs="Times New Roman"/>
        </w:rPr>
        <w:t xml:space="preserve"> progetto </w:t>
      </w:r>
      <w:r>
        <w:rPr>
          <w:rFonts w:ascii="Times New Roman" w:hAnsi="Times New Roman" w:cs="Times New Roman"/>
        </w:rPr>
        <w:t xml:space="preserve">“SOUNDS OF THE WORLD FESTIVAL”</w:t>
      </w:r>
      <w:r>
        <w:rPr>
          <w:rFonts w:ascii="Times New Roman" w:hAnsi="Times New Roman" w:cs="Times New Roman"/>
        </w:rPr>
        <w:t xml:space="preserve"> </w:t>
      </w:r>
      <w:r>
        <w:rPr>
          <w:rFonts w:ascii="Times New Roman" w:hAnsi="Times New Roman" w:cs="Times New Roman"/>
        </w:rPr>
        <w:t xml:space="preserve">da candidare all’Avviso pubblico “</w:t>
      </w:r>
      <w:r>
        <w:rPr>
          <w:rFonts w:ascii="Times New Roman" w:hAnsi="Times New Roman" w:cs="Times New Roman"/>
        </w:rPr>
        <w:t xml:space="preserve">CULTURA NEI PICCOLI COMUNI</w:t>
      </w:r>
      <w:r>
        <w:rPr>
          <w:rFonts w:ascii="Times New Roman" w:hAnsi="Times New Roman" w:cs="Times New Roman"/>
        </w:rPr>
        <w:t xml:space="preserve">”</w:t>
      </w:r>
      <w:r>
        <w:rPr>
          <w:rFonts w:ascii="Times New Roman" w:hAnsi="Times New Roman" w:cs="Times New Roman"/>
        </w:rPr>
        <w:t xml:space="preserve"> </w:t>
      </w:r>
      <w:r>
        <w:rPr>
          <w:rFonts w:ascii="Times New Roman" w:hAnsi="Times New Roman" w:cs="Times New Roman"/>
        </w:rPr>
        <w:t xml:space="preserve">del </w:t>
      </w:r>
      <w:r>
        <w:rPr>
          <w:rFonts w:ascii="Times New Roman" w:hAnsi="Times New Roman" w:cs="Times New Roman"/>
        </w:rPr>
        <w:t xml:space="preserve">Ministero della Cultura </w:t>
      </w:r>
      <w:r>
        <w:rPr>
          <w:rFonts w:ascii="Times New Roman" w:hAnsi="Times New Roman" w:cs="Times New Roman"/>
        </w:rPr>
      </w:r>
    </w:p>
    <w:p w14:paraId="1C5B066D" w14:textId="229330D1">
      <w:pPr>
        <w:pBdr/>
        <w:spacing w:after="0" w:line="360" w:lineRule="auto"/>
        <w:ind/>
        <w:jc w:val="both"/>
        <w:rPr>
          <w:rFonts w:ascii="Times New Roman" w:hAnsi="Times New Roman" w:cs="Times New Roman"/>
        </w:rPr>
      </w:pPr>
      <w:r>
        <w:rPr>
          <w:rFonts w:ascii="Times New Roman" w:hAnsi="Times New Roman" w:cs="Times New Roman"/>
          <w:u w:val="single"/>
        </w:rPr>
        <w:t xml:space="preserve">Il progetto </w:t>
      </w:r>
      <w:r>
        <w:rPr>
          <w:rFonts w:ascii="Times New Roman" w:hAnsi="Times New Roman" w:cs="Times New Roman"/>
          <w:b/>
          <w:bCs/>
          <w:u w:val="single"/>
        </w:rPr>
        <w:t xml:space="preserve">SOUNDS OF THE WORLD FESTIVAL</w:t>
      </w:r>
      <w:r>
        <w:rPr>
          <w:rFonts w:ascii="Times New Roman" w:hAnsi="Times New Roman" w:cs="Times New Roman"/>
          <w:i/>
          <w:u w:val="single"/>
        </w:rPr>
        <w:t xml:space="preserve"> </w:t>
      </w:r>
      <w:r>
        <w:rPr>
          <w:rFonts w:ascii="Times New Roman" w:hAnsi="Times New Roman" w:cs="Times New Roman"/>
          <w:u w:val="single"/>
        </w:rPr>
        <w:t xml:space="preserve">consiste in un Festival e </w:t>
      </w:r>
      <w:r>
        <w:rPr>
          <w:rFonts w:ascii="Times New Roman" w:hAnsi="Times New Roman" w:cs="Times New Roman"/>
          <w:u w:val="single"/>
        </w:rPr>
        <w:t xml:space="preserve">in percorsi di Open </w:t>
      </w:r>
      <w:r>
        <w:rPr>
          <w:rFonts w:ascii="Times New Roman" w:hAnsi="Times New Roman" w:cs="Times New Roman"/>
          <w:u w:val="single"/>
        </w:rPr>
        <w:t xml:space="preserve">Innovation</w:t>
      </w:r>
      <w:r>
        <w:rPr>
          <w:rFonts w:ascii="Times New Roman" w:hAnsi="Times New Roman" w:cs="Times New Roman"/>
          <w:u w:val="single"/>
        </w:rPr>
        <w:t xml:space="preserve"> interamente dedicati</w:t>
      </w:r>
      <w:r>
        <w:rPr>
          <w:rFonts w:ascii="Times New Roman" w:hAnsi="Times New Roman" w:cs="Times New Roman"/>
          <w:u w:val="single"/>
        </w:rPr>
        <w:t xml:space="preserve"> alla filiera musicale e alle Industrie Culturali e Creative (ICC) che ruotano intorno al mondo della musica</w:t>
      </w:r>
      <w:r>
        <w:rPr>
          <w:rFonts w:ascii="Times New Roman" w:hAnsi="Times New Roman" w:cs="Times New Roman"/>
          <w:u w:val="single"/>
        </w:rPr>
        <w:t xml:space="preserve"> contemporanea</w:t>
      </w:r>
      <w:r>
        <w:rPr>
          <w:rFonts w:ascii="Times New Roman" w:hAnsi="Times New Roman" w:cs="Times New Roman"/>
          <w:u w:val="single"/>
        </w:rPr>
        <w:t xml:space="preserve">. L’iniziativ</w:t>
      </w:r>
      <w:r>
        <w:rPr>
          <w:rFonts w:ascii="Times New Roman" w:hAnsi="Times New Roman" w:cs="Times New Roman"/>
          <w:u w:val="single"/>
        </w:rPr>
        <w:t xml:space="preserve">a unisce la fruizione artistica dal vivo (concerti, performance, rassegne) a un’intensa attività formativa, laboratoriale e divulgativa rivolta all’orientamento professionale, al consolidamento delle competenze e alla rigenerazione culturale del territorio</w:t>
      </w:r>
      <w:r>
        <w:rPr>
          <w:rFonts w:ascii="Times New Roman" w:hAnsi="Times New Roman" w:cs="Times New Roman"/>
        </w:rPr>
        <w:t xml:space="preserve">.</w:t>
      </w:r>
      <w:r>
        <w:rPr>
          <w:rFonts w:ascii="Times New Roman" w:hAnsi="Times New Roman" w:cs="Times New Roman"/>
        </w:rPr>
      </w:r>
    </w:p>
    <w:p w14:paraId="368C91EB" w14:textId="77777777">
      <w:pPr>
        <w:pBdr/>
        <w:spacing w:after="0" w:line="360" w:lineRule="auto"/>
        <w:ind/>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14:paraId="225A8B0B" w14:textId="27568E5C">
      <w:pPr>
        <w:pBdr/>
        <w:spacing w:after="0" w:line="360" w:lineRule="auto"/>
        <w:ind/>
        <w:jc w:val="both"/>
        <w:rPr>
          <w:rFonts w:ascii="Times New Roman" w:hAnsi="Times New Roman" w:cs="Times New Roman"/>
          <w:b/>
          <w:bCs/>
        </w:rPr>
      </w:pPr>
      <w:r>
        <w:rPr>
          <w:rFonts w:ascii="Times New Roman" w:hAnsi="Times New Roman" w:cs="Times New Roman"/>
          <w:b/>
          <w:bCs/>
        </w:rPr>
        <w:t xml:space="preserve">Art. 2 – Requisiti per la candidatura</w:t>
      </w:r>
      <w:r>
        <w:rPr>
          <w:rFonts w:ascii="Times New Roman" w:hAnsi="Times New Roman" w:cs="Times New Roman"/>
          <w:b/>
          <w:bCs/>
        </w:rPr>
      </w:r>
    </w:p>
    <w:p w14:paraId="668D8588" w14:textId="4EEAD783">
      <w:pPr>
        <w:pBdr/>
        <w:spacing w:after="0" w:line="360" w:lineRule="auto"/>
        <w:ind/>
        <w:jc w:val="both"/>
        <w:rPr>
          <w:rFonts w:ascii="Times New Roman" w:hAnsi="Times New Roman" w:cs="Times New Roman"/>
        </w:rPr>
      </w:pPr>
      <w:r>
        <w:rPr>
          <w:rFonts w:ascii="Times New Roman" w:hAnsi="Times New Roman" w:cs="Times New Roman"/>
        </w:rPr>
        <w:t xml:space="preserve">Possono manifestare il loro interesse ad assumere la qualità di partner i seguenti soggetti:</w:t>
      </w:r>
      <w:r>
        <w:rPr>
          <w:rFonts w:ascii="Times New Roman" w:hAnsi="Times New Roman" w:cs="Times New Roman"/>
        </w:rPr>
      </w:r>
    </w:p>
    <w:p w14:paraId="5E489E14" w14:textId="6A9D9155">
      <w:pPr>
        <w:pStyle w:val="843"/>
        <w:numPr>
          <w:ilvl w:val="0"/>
          <w:numId w:val="13"/>
        </w:numPr>
        <w:pBdr/>
        <w:spacing w:after="0" w:line="360" w:lineRule="auto"/>
        <w:ind/>
        <w:jc w:val="both"/>
        <w:rPr>
          <w:rFonts w:ascii="Times New Roman" w:hAnsi="Times New Roman" w:cs="Times New Roman"/>
        </w:rPr>
      </w:pPr>
      <w:r>
        <w:rPr>
          <w:rFonts w:ascii="Times New Roman" w:hAnsi="Times New Roman" w:cs="Times New Roman"/>
        </w:rPr>
        <w:t xml:space="preserve">amministrazioni</w:t>
      </w:r>
      <w:r>
        <w:rPr>
          <w:rFonts w:ascii="Times New Roman" w:hAnsi="Times New Roman" w:cs="Times New Roman"/>
        </w:rPr>
        <w:t xml:space="preserve"> pubbliche e enti pubblici istituiti ai sensi della normativa vigente;</w:t>
      </w:r>
      <w:r>
        <w:rPr>
          <w:rFonts w:ascii="Times New Roman" w:hAnsi="Times New Roman" w:cs="Times New Roman"/>
        </w:rPr>
      </w:r>
    </w:p>
    <w:p w14:paraId="7808C116" w14:textId="77387D6F">
      <w:pPr>
        <w:pStyle w:val="843"/>
        <w:numPr>
          <w:ilvl w:val="0"/>
          <w:numId w:val="13"/>
        </w:numPr>
        <w:pBdr/>
        <w:spacing w:after="0" w:line="360" w:lineRule="auto"/>
        <w:ind/>
        <w:jc w:val="both"/>
        <w:rPr>
          <w:rFonts w:ascii="Times New Roman" w:hAnsi="Times New Roman" w:cs="Times New Roman"/>
        </w:rPr>
      </w:pPr>
      <w:r>
        <w:rPr>
          <w:rFonts w:ascii="Times New Roman" w:hAnsi="Times New Roman" w:cs="Times New Roman"/>
        </w:rPr>
        <w:t xml:space="preserve">enti</w:t>
      </w:r>
      <w:r>
        <w:rPr>
          <w:rFonts w:ascii="Times New Roman" w:hAnsi="Times New Roman" w:cs="Times New Roman"/>
        </w:rPr>
        <w:t xml:space="preserve"> del Terzo Settore di cui al D.lgs. 117/2017 iscritti o in corso di iscrizione al RUNTS. In</w:t>
      </w:r>
      <w:r>
        <w:rPr>
          <w:rFonts w:ascii="Times New Roman" w:hAnsi="Times New Roman" w:cs="Times New Roman"/>
        </w:rPr>
        <w:t xml:space="preserve"> </w:t>
      </w:r>
      <w:r>
        <w:rPr>
          <w:rFonts w:ascii="Times New Roman" w:hAnsi="Times New Roman" w:cs="Times New Roman"/>
        </w:rPr>
        <w:t xml:space="preserve">questo secondo caso, l’iscrizione al registro deve essere perfezionata entro la data di</w:t>
      </w:r>
      <w:r>
        <w:rPr>
          <w:rFonts w:ascii="Times New Roman" w:hAnsi="Times New Roman" w:cs="Times New Roman"/>
        </w:rPr>
        <w:t xml:space="preserve"> </w:t>
      </w:r>
      <w:r>
        <w:rPr>
          <w:rFonts w:ascii="Times New Roman" w:hAnsi="Times New Roman" w:cs="Times New Roman"/>
        </w:rPr>
        <w:t xml:space="preserve">accettazione del contributo;</w:t>
      </w:r>
      <w:r>
        <w:rPr>
          <w:rFonts w:ascii="Times New Roman" w:hAnsi="Times New Roman" w:cs="Times New Roman"/>
        </w:rPr>
      </w:r>
    </w:p>
    <w:p w14:paraId="08D5A113" w14:textId="57A308AF">
      <w:pPr>
        <w:pStyle w:val="843"/>
        <w:numPr>
          <w:ilvl w:val="0"/>
          <w:numId w:val="13"/>
        </w:numPr>
        <w:pBdr/>
        <w:spacing w:after="0" w:line="360" w:lineRule="auto"/>
        <w:ind/>
        <w:jc w:val="both"/>
        <w:rPr>
          <w:rFonts w:ascii="Times New Roman" w:hAnsi="Times New Roman" w:cs="Times New Roman"/>
        </w:rPr>
      </w:pPr>
      <w:r>
        <w:rPr>
          <w:rFonts w:ascii="Times New Roman" w:hAnsi="Times New Roman" w:cs="Times New Roman"/>
        </w:rPr>
        <w:t xml:space="preserve">associazioni</w:t>
      </w:r>
      <w:r>
        <w:rPr>
          <w:rFonts w:ascii="Times New Roman" w:hAnsi="Times New Roman" w:cs="Times New Roman"/>
        </w:rPr>
        <w:t xml:space="preserve"> o comitati costituiti ai sensi del Codice civile, dotati di atto costitutivo registrato</w:t>
      </w:r>
      <w:r>
        <w:rPr>
          <w:rFonts w:ascii="Times New Roman" w:hAnsi="Times New Roman" w:cs="Times New Roman"/>
        </w:rPr>
        <w:t xml:space="preserve"> </w:t>
      </w:r>
      <w:r>
        <w:rPr>
          <w:rFonts w:ascii="Times New Roman" w:hAnsi="Times New Roman" w:cs="Times New Roman"/>
        </w:rPr>
        <w:t xml:space="preserve">presso l’Agenzia delle Entrate e di codice fiscale</w:t>
      </w:r>
      <w:r>
        <w:t xml:space="preserve">.</w:t>
      </w:r>
      <w:r>
        <w:rPr>
          <w:rFonts w:ascii="Times New Roman" w:hAnsi="Times New Roman" w:cs="Times New Roman"/>
        </w:rPr>
      </w:r>
    </w:p>
    <w:p w14:paraId="53B5FE7D" w14:textId="3918F9B7">
      <w:pPr>
        <w:pBdr/>
        <w:spacing w:after="0" w:line="360" w:lineRule="auto"/>
        <w:ind/>
        <w:jc w:val="both"/>
        <w:rPr>
          <w:rFonts w:ascii="Times New Roman" w:hAnsi="Times New Roman" w:cs="Times New Roman"/>
        </w:rPr>
      </w:pPr>
      <w:r>
        <w:rPr>
          <w:rFonts w:ascii="Times New Roman" w:hAnsi="Times New Roman" w:cs="Times New Roman"/>
        </w:rPr>
        <w:t xml:space="preserve">I partner devono </w:t>
      </w:r>
      <w:r>
        <w:rPr>
          <w:rFonts w:ascii="Times New Roman" w:hAnsi="Times New Roman" w:cs="Times New Roman"/>
        </w:rPr>
        <w:t xml:space="preserve">essere in possesso dei</w:t>
      </w:r>
      <w:r>
        <w:rPr>
          <w:rFonts w:ascii="Times New Roman" w:hAnsi="Times New Roman" w:cs="Times New Roman"/>
        </w:rPr>
        <w:t xml:space="preserve"> requisiti di ordine generale necessari per contrarre con la pubblica amministrazione e non devono trovarsi in situazioni che comportino il divieto di ricevere</w:t>
      </w:r>
      <w:r>
        <w:rPr>
          <w:rFonts w:ascii="Times New Roman" w:hAnsi="Times New Roman" w:cs="Times New Roman"/>
        </w:rPr>
        <w:t xml:space="preserve"> </w:t>
      </w:r>
      <w:r>
        <w:rPr>
          <w:rFonts w:ascii="Times New Roman" w:hAnsi="Times New Roman" w:cs="Times New Roman"/>
        </w:rPr>
        <w:t xml:space="preserve">contributi o benefici pubblici ai sensi della normativa vigente.</w:t>
      </w:r>
      <w:r>
        <w:rPr>
          <w:rFonts w:ascii="Times New Roman" w:hAnsi="Times New Roman" w:cs="Times New Roman"/>
        </w:rPr>
      </w:r>
    </w:p>
    <w:p w14:paraId="4D65A11F" w14:textId="03B9C365">
      <w:pPr>
        <w:pBdr/>
        <w:spacing w:after="0" w:line="360" w:lineRule="auto"/>
        <w:ind/>
        <w:jc w:val="both"/>
        <w:rPr>
          <w:rFonts w:ascii="Times New Roman" w:hAnsi="Times New Roman" w:cs="Times New Roman"/>
        </w:rPr>
      </w:pPr>
      <w:r>
        <w:rPr>
          <w:rFonts w:ascii="Times New Roman" w:hAnsi="Times New Roman" w:cs="Times New Roman"/>
          <w:b/>
        </w:rPr>
        <w:t xml:space="preserve">Ciascun </w:t>
      </w:r>
      <w:r>
        <w:rPr>
          <w:rFonts w:ascii="Times New Roman" w:hAnsi="Times New Roman" w:cs="Times New Roman"/>
          <w:b/>
        </w:rPr>
        <w:t xml:space="preserve">partner</w:t>
      </w:r>
      <w:r>
        <w:rPr>
          <w:rFonts w:ascii="Times New Roman" w:hAnsi="Times New Roman" w:cs="Times New Roman"/>
          <w:b/>
        </w:rPr>
        <w:t xml:space="preserve"> può partecipare all’Avviso con una sola candidatura, </w:t>
      </w:r>
      <w:r>
        <w:rPr>
          <w:rFonts w:ascii="Times New Roman" w:hAnsi="Times New Roman" w:cs="Times New Roman"/>
          <w:b/>
        </w:rPr>
        <w:t xml:space="preserve">partecipando </w:t>
      </w:r>
      <w:r>
        <w:rPr>
          <w:rFonts w:ascii="Times New Roman" w:hAnsi="Times New Roman" w:cs="Times New Roman"/>
          <w:b/>
        </w:rPr>
        <w:t xml:space="preserve">ad</w:t>
      </w:r>
      <w:r>
        <w:rPr>
          <w:rFonts w:ascii="Times New Roman" w:hAnsi="Times New Roman" w:cs="Times New Roman"/>
          <w:b/>
        </w:rPr>
        <w:t xml:space="preserve"> un solo progetto, </w:t>
      </w:r>
      <w:r>
        <w:rPr>
          <w:rFonts w:ascii="Times New Roman" w:hAnsi="Times New Roman" w:cs="Times New Roman"/>
          <w:b/>
        </w:rPr>
        <w:t xml:space="preserve">a pena di esclusione</w:t>
      </w:r>
      <w:r>
        <w:rPr>
          <w:rFonts w:ascii="Times New Roman" w:hAnsi="Times New Roman" w:cs="Times New Roman"/>
        </w:rPr>
        <w:t xml:space="preserve">.</w:t>
      </w:r>
      <w:r>
        <w:rPr>
          <w:rFonts w:ascii="Times New Roman" w:hAnsi="Times New Roman" w:cs="Times New Roman"/>
        </w:rPr>
      </w:r>
    </w:p>
    <w:p w14:paraId="3F9086FB" w14:textId="4B20AC93">
      <w:pPr>
        <w:pBdr/>
        <w:spacing w:after="0" w:line="360" w:lineRule="auto"/>
        <w:ind/>
        <w:jc w:val="both"/>
        <w:rPr>
          <w:rFonts w:ascii="Times New Roman" w:hAnsi="Times New Roman" w:cs="Times New Roman"/>
        </w:rPr>
      </w:pPr>
      <w:r>
        <w:rPr>
          <w:rFonts w:ascii="Times New Roman" w:hAnsi="Times New Roman" w:cs="Times New Roman"/>
        </w:rPr>
        <w:t xml:space="preserve">I soggetti interessati dovranno dichiarare</w:t>
      </w:r>
      <w:r>
        <w:rPr>
          <w:rFonts w:ascii="Times New Roman" w:hAnsi="Times New Roman" w:cs="Times New Roman"/>
        </w:rPr>
        <w:t xml:space="preserve">, a pena di esclusione dalla presente manifestazione </w:t>
      </w:r>
      <w:r>
        <w:rPr>
          <w:rFonts w:ascii="Times New Roman" w:hAnsi="Times New Roman" w:cs="Times New Roman"/>
        </w:rPr>
        <w:t xml:space="preserve">di </w:t>
      </w:r>
      <w:r>
        <w:rPr>
          <w:rFonts w:ascii="Times New Roman" w:hAnsi="Times New Roman" w:cs="Times New Roman"/>
        </w:rPr>
        <w:t xml:space="preserve">interessi, </w:t>
      </w:r>
      <w:r>
        <w:rPr>
          <w:rFonts w:ascii="Times New Roman" w:hAnsi="Times New Roman" w:cs="Times New Roman"/>
        </w:rPr>
        <w:t xml:space="preserve"> di non aderire ad altri partenariati finalizzati alla partecipazione al medesimo Avviso </w:t>
      </w:r>
      <w:r>
        <w:rPr>
          <w:rFonts w:ascii="Times New Roman" w:hAnsi="Times New Roman" w:cs="Times New Roman"/>
        </w:rPr>
        <w:t xml:space="preserve">ministeriale</w:t>
      </w:r>
      <w:r>
        <w:rPr>
          <w:rFonts w:ascii="Times New Roman" w:hAnsi="Times New Roman" w:cs="Times New Roman"/>
        </w:rPr>
        <w:t xml:space="preserve">.</w:t>
      </w:r>
      <w:r>
        <w:rPr>
          <w:rFonts w:ascii="Times New Roman" w:hAnsi="Times New Roman" w:cs="Times New Roman"/>
        </w:rPr>
      </w:r>
    </w:p>
    <w:p w14:paraId="0492A916" w14:textId="77777777">
      <w:pPr>
        <w:pBdr/>
        <w:spacing/>
        <w:ind/>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14:paraId="63753024" w14:textId="3F895A05">
      <w:pPr>
        <w:pBdr/>
        <w:spacing w:after="0" w:line="360" w:lineRule="auto"/>
        <w:ind/>
        <w:jc w:val="both"/>
        <w:rPr>
          <w:rFonts w:ascii="Times New Roman" w:hAnsi="Times New Roman" w:cs="Times New Roman"/>
          <w:b/>
          <w:bCs/>
        </w:rPr>
      </w:pPr>
      <w:r>
        <w:rPr>
          <w:rFonts w:ascii="Times New Roman" w:hAnsi="Times New Roman" w:cs="Times New Roman"/>
          <w:b/>
          <w:bCs/>
        </w:rPr>
        <w:t xml:space="preserve">Art. 3 – Termine per la presentazione delle </w:t>
      </w:r>
      <w:r>
        <w:rPr>
          <w:rFonts w:ascii="Times New Roman" w:hAnsi="Times New Roman" w:cs="Times New Roman"/>
          <w:b/>
          <w:bCs/>
        </w:rPr>
        <w:t xml:space="preserve">istanze</w:t>
      </w:r>
      <w:r>
        <w:rPr>
          <w:rFonts w:ascii="Times New Roman" w:hAnsi="Times New Roman" w:cs="Times New Roman"/>
          <w:b/>
          <w:bCs/>
        </w:rPr>
      </w:r>
    </w:p>
    <w:p w14:paraId="3823E312" w14:textId="01C1D7A0">
      <w:pPr>
        <w:pBdr/>
        <w:spacing w:after="0" w:line="360" w:lineRule="auto"/>
        <w:ind/>
        <w:jc w:val="both"/>
        <w:rPr>
          <w:rFonts w:ascii="Times New Roman" w:hAnsi="Times New Roman" w:cs="Times New Roman"/>
        </w:rPr>
      </w:pPr>
      <w:r>
        <w:rPr>
          <w:rFonts w:ascii="Times New Roman" w:hAnsi="Times New Roman" w:cs="Times New Roman"/>
        </w:rPr>
        <w:t xml:space="preserve">Le </w:t>
      </w:r>
      <w:r>
        <w:rPr>
          <w:rFonts w:ascii="Times New Roman" w:hAnsi="Times New Roman" w:cs="Times New Roman"/>
        </w:rPr>
        <w:t xml:space="preserve">istanze</w:t>
      </w:r>
      <w:r>
        <w:rPr>
          <w:rFonts w:ascii="Times New Roman" w:hAnsi="Times New Roman" w:cs="Times New Roman"/>
        </w:rPr>
        <w:t xml:space="preserve"> compilate secondo </w:t>
      </w:r>
      <w:r>
        <w:rPr>
          <w:rFonts w:ascii="Times New Roman" w:hAnsi="Times New Roman" w:cs="Times New Roman"/>
        </w:rPr>
        <w:t xml:space="preserve">la modulistica allegata</w:t>
      </w:r>
      <w:r>
        <w:rPr>
          <w:rFonts w:ascii="Times New Roman" w:hAnsi="Times New Roman" w:cs="Times New Roman"/>
        </w:rPr>
        <w:t xml:space="preserve"> e corredate da copia del documento di identità del sottoscrittore, dovranno pervenire al Comune di Monteroni di Lecce </w:t>
      </w:r>
      <w:r>
        <w:rPr>
          <w:rFonts w:ascii="Times New Roman" w:hAnsi="Times New Roman" w:cs="Times New Roman"/>
          <w:b/>
        </w:rPr>
        <w:t xml:space="preserve">entro le ore</w:t>
      </w:r>
      <w:r>
        <w:rPr>
          <w:rFonts w:ascii="Times New Roman" w:hAnsi="Times New Roman" w:cs="Times New Roman"/>
          <w:b/>
        </w:rPr>
        <w:t xml:space="preserve"> 23.59</w:t>
      </w:r>
      <w:r>
        <w:rPr>
          <w:rFonts w:ascii="Times New Roman" w:hAnsi="Times New Roman" w:cs="Times New Roman"/>
          <w:b/>
        </w:rPr>
        <w:t xml:space="preserve"> del giorno</w:t>
      </w:r>
      <w:r>
        <w:rPr>
          <w:rFonts w:ascii="Times New Roman" w:hAnsi="Times New Roman" w:cs="Times New Roman"/>
          <w:b/>
        </w:rPr>
        <w:t xml:space="preserve"> 07/08/2026</w:t>
      </w:r>
      <w:bookmarkStart w:id="0" w:name="_GoBack"/>
      <w:r/>
      <w:bookmarkEnd w:id="0"/>
      <w:r>
        <w:rPr>
          <w:rFonts w:ascii="Times New Roman" w:hAnsi="Times New Roman" w:cs="Times New Roman"/>
          <w:b/>
        </w:rPr>
        <w:t xml:space="preserve"> </w:t>
      </w:r>
      <w:r>
        <w:rPr>
          <w:rFonts w:ascii="Times New Roman" w:hAnsi="Times New Roman" w:cs="Times New Roman"/>
        </w:rPr>
        <w:t xml:space="preserve">mediante invio al seguente indirizzo di posta elettronica certificata: </w:t>
      </w:r>
      <w:r>
        <w:rPr>
          <w:rFonts w:ascii="Times New Roman" w:hAnsi="Times New Roman" w:cs="Times New Roman"/>
        </w:rPr>
      </w:r>
    </w:p>
    <w:p w14:paraId="2CC68380" w14:textId="2E156167">
      <w:pPr>
        <w:pBdr/>
        <w:spacing w:after="0" w:line="360" w:lineRule="auto"/>
        <w:ind/>
        <w:jc w:val="both"/>
        <w:rPr>
          <w:rFonts w:ascii="Times New Roman" w:hAnsi="Times New Roman" w:cs="Times New Roman"/>
          <w:b/>
          <w:bCs/>
          <w:color w:val="0000ff"/>
          <w:u w:val="single"/>
        </w:rPr>
      </w:pPr>
      <w:r/>
      <w:hyperlink r:id="rId16" w:tooltip="mailto:protocollogenerale.comune.monteroni@pec.rupar.puglia.it" w:history="1">
        <w:r>
          <w:rPr>
            <w:rStyle w:val="848"/>
            <w:rFonts w:ascii="Times New Roman" w:hAnsi="Times New Roman" w:cs="Times New Roman"/>
            <w:b/>
            <w:bCs/>
          </w:rPr>
          <w:t xml:space="preserve">protocollogenerale.comune.monteroni@pec.rupar.puglia.it</w:t>
        </w:r>
      </w:hyperlink>
      <w:r>
        <w:rPr>
          <w:rFonts w:ascii="Times New Roman" w:hAnsi="Times New Roman" w:cs="Times New Roman"/>
          <w:b/>
          <w:bCs/>
          <w:color w:val="0000ff"/>
          <w:u w:val="single"/>
        </w:rPr>
        <w:t xml:space="preserve"> </w:t>
      </w:r>
      <w:r>
        <w:rPr>
          <w:rFonts w:ascii="Times New Roman" w:hAnsi="Times New Roman" w:cs="Times New Roman"/>
          <w:b/>
          <w:bCs/>
          <w:color w:val="0000ff"/>
          <w:u w:val="single"/>
        </w:rPr>
      </w:r>
    </w:p>
    <w:p w14:paraId="0546843D" w14:textId="10B9AA58">
      <w:pPr>
        <w:pBdr/>
        <w:spacing w:after="0" w:line="360" w:lineRule="auto"/>
        <w:ind/>
        <w:jc w:val="both"/>
        <w:rPr>
          <w:rFonts w:ascii="Times New Roman" w:hAnsi="Times New Roman" w:cs="Times New Roman"/>
        </w:rPr>
      </w:pPr>
      <w:r>
        <w:rPr>
          <w:rFonts w:ascii="Times New Roman" w:hAnsi="Times New Roman" w:cs="Times New Roman"/>
        </w:rPr>
        <w:t xml:space="preserve">indicando</w:t>
      </w:r>
      <w:r>
        <w:rPr>
          <w:rFonts w:ascii="Times New Roman" w:hAnsi="Times New Roman" w:cs="Times New Roman"/>
        </w:rPr>
        <w:t xml:space="preserve"> nell’oggetto</w:t>
      </w:r>
      <w:r>
        <w:rPr>
          <w:rFonts w:ascii="Times New Roman" w:hAnsi="Times New Roman" w:cs="Times New Roman"/>
        </w:rPr>
        <w:t xml:space="preserve"> della </w:t>
      </w:r>
      <w:r>
        <w:rPr>
          <w:rFonts w:ascii="Times New Roman" w:hAnsi="Times New Roman" w:cs="Times New Roman"/>
        </w:rPr>
        <w:t xml:space="preserve">pec</w:t>
      </w:r>
      <w:r>
        <w:rPr>
          <w:rFonts w:ascii="Times New Roman" w:hAnsi="Times New Roman" w:cs="Times New Roman"/>
        </w:rPr>
        <w:t xml:space="preserve"> “AVVISO PUBBLICO CULTURA NEI PICCOLI COMUNI – MANIFESTAZIONE DI INTERESSE”</w:t>
      </w:r>
      <w:r>
        <w:rPr>
          <w:rFonts w:ascii="Times New Roman" w:hAnsi="Times New Roman" w:cs="Times New Roman"/>
        </w:rPr>
        <w:t xml:space="preserve">.</w:t>
      </w:r>
      <w:r>
        <w:rPr>
          <w:rFonts w:ascii="Times New Roman" w:hAnsi="Times New Roman" w:cs="Times New Roman"/>
        </w:rPr>
      </w:r>
    </w:p>
    <w:p w14:paraId="0A739F79" w14:textId="51B77B82">
      <w:pPr>
        <w:pBdr/>
        <w:spacing w:after="0" w:line="360" w:lineRule="auto"/>
        <w:ind/>
        <w:jc w:val="both"/>
        <w:rPr>
          <w:rFonts w:ascii="Times New Roman" w:hAnsi="Times New Roman" w:cs="Times New Roman"/>
        </w:rPr>
      </w:pPr>
      <w:r>
        <w:rPr>
          <w:rFonts w:ascii="Times New Roman" w:hAnsi="Times New Roman" w:cs="Times New Roman"/>
        </w:rPr>
        <w:t xml:space="preserve">I documenti che dovranno essere trasmessi dal proponente sono i seguenti:</w:t>
      </w:r>
      <w:r>
        <w:rPr>
          <w:rFonts w:ascii="Times New Roman" w:hAnsi="Times New Roman" w:cs="Times New Roman"/>
        </w:rPr>
      </w:r>
    </w:p>
    <w:p w14:paraId="3DC8AD16" w14:textId="536262B6">
      <w:pPr>
        <w:pStyle w:val="843"/>
        <w:numPr>
          <w:ilvl w:val="0"/>
          <w:numId w:val="15"/>
        </w:numPr>
        <w:pBdr/>
        <w:spacing w:after="0" w:line="360" w:lineRule="auto"/>
        <w:ind/>
        <w:jc w:val="both"/>
        <w:rPr>
          <w:rFonts w:ascii="Times New Roman" w:hAnsi="Times New Roman" w:cs="Times New Roman"/>
        </w:rPr>
      </w:pPr>
      <w:r>
        <w:rPr>
          <w:rFonts w:ascii="Times New Roman" w:hAnsi="Times New Roman" w:cs="Times New Roman"/>
        </w:rPr>
        <w:t xml:space="preserve">Allegato A </w:t>
      </w:r>
      <w:r>
        <w:rPr>
          <w:rFonts w:ascii="Times New Roman" w:hAnsi="Times New Roman" w:cs="Times New Roman"/>
        </w:rPr>
        <w:t xml:space="preserve">–</w:t>
      </w:r>
      <w:r>
        <w:rPr>
          <w:rFonts w:ascii="Times New Roman" w:hAnsi="Times New Roman" w:cs="Times New Roman"/>
        </w:rPr>
        <w:t xml:space="preserve"> Autocertificazione</w:t>
      </w:r>
      <w:r>
        <w:rPr>
          <w:rFonts w:ascii="Times New Roman" w:hAnsi="Times New Roman" w:cs="Times New Roman"/>
        </w:rPr>
      </w:r>
    </w:p>
    <w:p w14:paraId="311B0C14" w14:textId="531A1FB1">
      <w:pPr>
        <w:pStyle w:val="843"/>
        <w:numPr>
          <w:ilvl w:val="0"/>
          <w:numId w:val="15"/>
        </w:numPr>
        <w:pBdr/>
        <w:spacing w:after="0" w:line="360" w:lineRule="auto"/>
        <w:ind/>
        <w:jc w:val="both"/>
        <w:rPr>
          <w:rFonts w:ascii="Times New Roman" w:hAnsi="Times New Roman" w:cs="Times New Roman"/>
        </w:rPr>
      </w:pPr>
      <w:r>
        <w:rPr>
          <w:rFonts w:ascii="Times New Roman" w:hAnsi="Times New Roman" w:cs="Times New Roman"/>
        </w:rPr>
        <w:t xml:space="preserve">Allegato C – Lettera di Intenti</w:t>
      </w:r>
      <w:r>
        <w:rPr>
          <w:rFonts w:ascii="Times New Roman" w:hAnsi="Times New Roman" w:cs="Times New Roman"/>
        </w:rPr>
      </w:r>
    </w:p>
    <w:p w14:paraId="2C3E9A13" w14:textId="2AB12087">
      <w:pPr>
        <w:pStyle w:val="843"/>
        <w:numPr>
          <w:ilvl w:val="0"/>
          <w:numId w:val="15"/>
        </w:numPr>
        <w:pBdr/>
        <w:spacing w:after="0" w:line="360" w:lineRule="auto"/>
        <w:ind/>
        <w:jc w:val="both"/>
        <w:rPr>
          <w:rFonts w:ascii="Times New Roman" w:hAnsi="Times New Roman" w:cs="Times New Roman"/>
        </w:rPr>
      </w:pPr>
      <w:r>
        <w:rPr>
          <w:rFonts w:ascii="Times New Roman" w:hAnsi="Times New Roman" w:cs="Times New Roman"/>
        </w:rPr>
        <w:t xml:space="preserve">Breve presentazione del partner, nella forma della carta di servizi, company </w:t>
      </w:r>
      <w:r>
        <w:rPr>
          <w:rFonts w:ascii="Times New Roman" w:hAnsi="Times New Roman" w:cs="Times New Roman"/>
        </w:rPr>
        <w:t xml:space="preserve">profile</w:t>
      </w:r>
      <w:r>
        <w:rPr>
          <w:rFonts w:ascii="Times New Roman" w:hAnsi="Times New Roman" w:cs="Times New Roman"/>
        </w:rPr>
        <w:t xml:space="preserve">, brochure (lunghezza massima: tre pagine in formato wor</w:t>
      </w:r>
      <w:r>
        <w:rPr>
          <w:rFonts w:ascii="Times New Roman" w:hAnsi="Times New Roman" w:cs="Times New Roman"/>
        </w:rPr>
        <w:t xml:space="preserve">d)</w:t>
      </w:r>
      <w:r>
        <w:rPr>
          <w:rFonts w:ascii="Times New Roman" w:hAnsi="Times New Roman" w:cs="Times New Roman"/>
        </w:rPr>
      </w:r>
    </w:p>
    <w:p w14:paraId="4158C095" w14:textId="77777777">
      <w:pPr>
        <w:pBdr/>
        <w:spacing w:after="0" w:line="360" w:lineRule="auto"/>
        <w:ind/>
        <w:jc w:val="both"/>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p>
    <w:p w14:paraId="3D0C22FE" w14:textId="4088A62E">
      <w:pPr>
        <w:pBdr/>
        <w:spacing w:after="0" w:line="360" w:lineRule="auto"/>
        <w:ind/>
        <w:jc w:val="both"/>
        <w:rPr>
          <w:rFonts w:ascii="Times New Roman" w:hAnsi="Times New Roman" w:cs="Times New Roman"/>
          <w:b/>
          <w:bCs/>
        </w:rPr>
      </w:pPr>
      <w:r>
        <w:rPr>
          <w:rFonts w:ascii="Times New Roman" w:hAnsi="Times New Roman" w:cs="Times New Roman"/>
          <w:b/>
          <w:bCs/>
        </w:rPr>
        <w:t xml:space="preserve">Art. 4 – Criteri di valutazione delle manifestazioni </w:t>
      </w:r>
      <w:r>
        <w:rPr>
          <w:rFonts w:ascii="Times New Roman" w:hAnsi="Times New Roman" w:cs="Times New Roman"/>
          <w:b/>
          <w:bCs/>
        </w:rPr>
        <w:t xml:space="preserve">di </w:t>
      </w:r>
      <w:r>
        <w:rPr>
          <w:rFonts w:ascii="Times New Roman" w:hAnsi="Times New Roman" w:cs="Times New Roman"/>
          <w:b/>
          <w:bCs/>
        </w:rPr>
        <w:t xml:space="preserve">interesse</w:t>
      </w:r>
      <w:r>
        <w:rPr>
          <w:rFonts w:ascii="Times New Roman" w:hAnsi="Times New Roman" w:cs="Times New Roman"/>
          <w:b/>
          <w:bCs/>
        </w:rPr>
      </w:r>
    </w:p>
    <w:p w14:paraId="1F9A0334" w14:textId="1E9CFA8D">
      <w:pPr>
        <w:pBdr/>
        <w:spacing w:after="0" w:line="360" w:lineRule="auto"/>
        <w:ind/>
        <w:jc w:val="both"/>
        <w:rPr>
          <w:rFonts w:ascii="Times New Roman" w:hAnsi="Times New Roman" w:cs="Times New Roman"/>
        </w:rPr>
      </w:pPr>
      <w:r>
        <w:rPr>
          <w:rFonts w:ascii="Times New Roman" w:hAnsi="Times New Roman" w:cs="Times New Roman"/>
        </w:rPr>
        <w:t xml:space="preserve">Il Comune di Monteroni di Lecce valuterà l’ammissibilità formale delle </w:t>
      </w:r>
      <w:r>
        <w:rPr>
          <w:rFonts w:ascii="Times New Roman" w:hAnsi="Times New Roman" w:cs="Times New Roman"/>
        </w:rPr>
        <w:t xml:space="preserve">istanze</w:t>
      </w:r>
      <w:r>
        <w:rPr>
          <w:rFonts w:ascii="Times New Roman" w:hAnsi="Times New Roman" w:cs="Times New Roman"/>
        </w:rPr>
        <w:t xml:space="preserve"> pervenute. La presentazione </w:t>
      </w:r>
      <w:r>
        <w:rPr>
          <w:rFonts w:ascii="Times New Roman" w:hAnsi="Times New Roman" w:cs="Times New Roman"/>
        </w:rPr>
        <w:t xml:space="preserve">della </w:t>
      </w:r>
      <w:r>
        <w:rPr>
          <w:rFonts w:ascii="Times New Roman" w:hAnsi="Times New Roman" w:cs="Times New Roman"/>
        </w:rPr>
        <w:t xml:space="preserve">istanza per manifestazione di interesse non determina alcun d</w:t>
      </w:r>
      <w:r>
        <w:rPr>
          <w:rFonts w:ascii="Times New Roman" w:hAnsi="Times New Roman" w:cs="Times New Roman"/>
        </w:rPr>
        <w:t xml:space="preserve">iritto in capo ai proponenti in termini di assunzione </w:t>
      </w:r>
      <w:r>
        <w:rPr>
          <w:rFonts w:ascii="Times New Roman" w:hAnsi="Times New Roman" w:cs="Times New Roman"/>
        </w:rPr>
        <w:t xml:space="preserve"> della veste di partner, restando facoltà del Comune decidere se stipulare la convenzione di partenariato con tutti, una parte o nessuno dei soggetti proponenti. Il Comune di Monteroni di Lecce si riserva </w:t>
      </w:r>
      <w:r>
        <w:rPr>
          <w:rFonts w:ascii="Times New Roman" w:hAnsi="Times New Roman" w:cs="Times New Roman"/>
        </w:rPr>
        <w:t xml:space="preserve">di</w:t>
      </w:r>
      <w:r>
        <w:rPr>
          <w:rFonts w:ascii="Times New Roman" w:hAnsi="Times New Roman" w:cs="Times New Roman"/>
        </w:rPr>
        <w:t xml:space="preserve"> limitare il numero e </w:t>
      </w:r>
      <w:r>
        <w:rPr>
          <w:rFonts w:ascii="Times New Roman" w:hAnsi="Times New Roman" w:cs="Times New Roman"/>
        </w:rPr>
        <w:t xml:space="preserve">la tipologia di partner da ammettere </w:t>
      </w:r>
      <w:r>
        <w:rPr>
          <w:rFonts w:ascii="Times New Roman" w:hAnsi="Times New Roman" w:cs="Times New Roman"/>
        </w:rPr>
        <w:t xml:space="preserve">al progetto in coerenza con il dossier di candidatura che sarà elaborato e proposto al Ministero. </w:t>
      </w:r>
      <w:r>
        <w:rPr>
          <w:rFonts w:ascii="Times New Roman" w:hAnsi="Times New Roman" w:cs="Times New Roman"/>
        </w:rPr>
      </w:r>
    </w:p>
    <w:p w14:paraId="75F0562F" w14:textId="77777777">
      <w:pPr>
        <w:pBdr/>
        <w:spacing w:after="0" w:line="360" w:lineRule="auto"/>
        <w:ind/>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14:paraId="1861E834" w14:textId="0744B5EA">
      <w:pPr>
        <w:pBdr/>
        <w:spacing w:after="0" w:line="360" w:lineRule="auto"/>
        <w:ind/>
        <w:jc w:val="both"/>
        <w:rPr>
          <w:rFonts w:ascii="Times New Roman" w:hAnsi="Times New Roman" w:cs="Times New Roman"/>
          <w:b/>
          <w:bCs/>
        </w:rPr>
      </w:pPr>
      <w:r>
        <w:rPr>
          <w:rFonts w:ascii="Times New Roman" w:hAnsi="Times New Roman" w:cs="Times New Roman"/>
          <w:b/>
          <w:bCs/>
        </w:rPr>
        <w:t xml:space="preserve">Art. 5 - Trattamento dei dati personali</w:t>
      </w:r>
      <w:r>
        <w:rPr>
          <w:rFonts w:ascii="Times New Roman" w:hAnsi="Times New Roman" w:cs="Times New Roman"/>
          <w:b/>
          <w:bCs/>
        </w:rPr>
      </w:r>
    </w:p>
    <w:p w14:paraId="41F9FE5E" w14:textId="04C34F28">
      <w:pPr>
        <w:pBdr/>
        <w:spacing w:after="0" w:line="360" w:lineRule="auto"/>
        <w:ind/>
        <w:jc w:val="both"/>
        <w:rPr>
          <w:rFonts w:ascii="Times New Roman" w:hAnsi="Times New Roman" w:cs="Times New Roman"/>
        </w:rPr>
      </w:pPr>
      <w:r>
        <w:rPr>
          <w:rFonts w:ascii="Times New Roman" w:hAnsi="Times New Roman" w:cs="Times New Roman"/>
        </w:rPr>
        <w:t xml:space="preserve">Ai sensi e per gli effetti di cui al Regolamento UE 2016/679 e del D. </w:t>
      </w:r>
      <w:r>
        <w:rPr>
          <w:rFonts w:ascii="Times New Roman" w:hAnsi="Times New Roman" w:cs="Times New Roman"/>
        </w:rPr>
        <w:t xml:space="preserve">Lgs.n</w:t>
      </w:r>
      <w:r>
        <w:rPr>
          <w:rFonts w:ascii="Times New Roman" w:hAnsi="Times New Roman" w:cs="Times New Roman"/>
        </w:rPr>
        <w:t xml:space="preserve">. 196/2003, i dati richiesti dal presente avviso saranno utilizzati esclusivamente per le finalità previste dallo stesso e saranno conservati per il </w:t>
      </w:r>
      <w:r>
        <w:rPr>
          <w:rFonts w:ascii="Times New Roman" w:hAnsi="Times New Roman" w:cs="Times New Roman"/>
        </w:rPr>
        <w:t xml:space="preserve">periodo di tempo</w:t>
      </w:r>
      <w:r>
        <w:rPr>
          <w:rFonts w:ascii="Times New Roman" w:hAnsi="Times New Roman" w:cs="Times New Roman"/>
        </w:rPr>
        <w:t xml:space="preserve"> necessario per il conseguimento delle finalità per le quali sono raccolti e trattati e con modalità atte a garantire la sicurezza e la riservatezza dei dati medesimi ed ogni altro diritto spettante all’interessato. Il conferimento dei dati è obbli</w:t>
      </w:r>
      <w:r>
        <w:rPr>
          <w:rFonts w:ascii="Times New Roman" w:hAnsi="Times New Roman" w:cs="Times New Roman"/>
        </w:rPr>
        <w:t xml:space="preserve">gatorio ed il rifiuto di fornire gli stessi comporta l’impossibilità di dar corso alla valutazione della domanda, nonché agli adempimenti conseguenti connessi alla procedura. Il Titolare del trattamento dei dati personali è il Comune di Monteroni di Lecce.</w:t>
      </w:r>
      <w:r>
        <w:rPr>
          <w:rFonts w:ascii="Times New Roman" w:hAnsi="Times New Roman" w:cs="Times New Roman"/>
        </w:rPr>
      </w:r>
    </w:p>
    <w:p w14:paraId="163217F0" w14:textId="77777777">
      <w:pPr>
        <w:pBdr/>
        <w:spacing w:after="0" w:line="360" w:lineRule="auto"/>
        <w:ind/>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14:paraId="5388F97A" w14:textId="2C16CABA">
      <w:pPr>
        <w:pBdr/>
        <w:spacing w:after="0" w:line="360" w:lineRule="auto"/>
        <w:ind/>
        <w:jc w:val="both"/>
        <w:rPr>
          <w:rFonts w:ascii="Times New Roman" w:hAnsi="Times New Roman" w:cs="Times New Roman"/>
          <w:b/>
          <w:bCs/>
        </w:rPr>
      </w:pPr>
      <w:r>
        <w:rPr>
          <w:rFonts w:ascii="Times New Roman" w:hAnsi="Times New Roman" w:cs="Times New Roman"/>
          <w:b/>
          <w:bCs/>
        </w:rPr>
        <w:t xml:space="preserve">Art. 6 - Pubblicità </w:t>
      </w:r>
      <w:r>
        <w:rPr>
          <w:rFonts w:ascii="Times New Roman" w:hAnsi="Times New Roman" w:cs="Times New Roman"/>
          <w:b/>
          <w:bCs/>
        </w:rPr>
        <w:t xml:space="preserve">ed</w:t>
      </w:r>
      <w:r>
        <w:rPr>
          <w:rFonts w:ascii="Times New Roman" w:hAnsi="Times New Roman" w:cs="Times New Roman"/>
          <w:b/>
          <w:bCs/>
        </w:rPr>
        <w:t xml:space="preserve"> informazioni</w:t>
      </w:r>
      <w:r>
        <w:rPr>
          <w:rFonts w:ascii="Times New Roman" w:hAnsi="Times New Roman" w:cs="Times New Roman"/>
          <w:b/>
          <w:bCs/>
        </w:rPr>
      </w:r>
    </w:p>
    <w:p w14:paraId="48D7A6E5" w14:textId="28DB66E9">
      <w:pPr>
        <w:pBdr/>
        <w:spacing w:after="0" w:line="360" w:lineRule="auto"/>
        <w:ind/>
        <w:jc w:val="both"/>
        <w:rPr/>
      </w:pPr>
      <w:r>
        <w:rPr>
          <w:rFonts w:ascii="Times New Roman" w:hAnsi="Times New Roman" w:cs="Times New Roman"/>
        </w:rPr>
        <w:t xml:space="preserve">II presente avviso è pubblicato integralmente all’Albo Pretorio online del Comune di Monteroni </w:t>
      </w:r>
      <w:r>
        <w:rPr>
          <w:rFonts w:ascii="Times New Roman" w:hAnsi="Times New Roman" w:cs="Times New Roman"/>
        </w:rPr>
        <w:t xml:space="preserve">di</w:t>
      </w:r>
      <w:r>
        <w:rPr>
          <w:rFonts w:ascii="Times New Roman" w:hAnsi="Times New Roman" w:cs="Times New Roman"/>
        </w:rPr>
        <w:t xml:space="preserve"> Lecce sul sito</w:t>
      </w:r>
      <w:r>
        <w:rPr>
          <w:rFonts w:ascii="Times New Roman" w:hAnsi="Times New Roman" w:cs="Times New Roman"/>
        </w:rPr>
        <w:t xml:space="preserve"> web istituzionale. Il RUP per la fase di candidatura del</w:t>
      </w:r>
      <w:r>
        <w:rPr>
          <w:rFonts w:ascii="Times New Roman" w:hAnsi="Times New Roman" w:cs="Times New Roman"/>
        </w:rPr>
        <w:t xml:space="preserve">l’</w:t>
      </w:r>
      <w:r>
        <w:rPr>
          <w:rFonts w:ascii="Times New Roman" w:hAnsi="Times New Roman" w:cs="Times New Roman"/>
        </w:rPr>
        <w:t xml:space="preserve">istanza</w:t>
      </w:r>
      <w:r>
        <w:rPr>
          <w:rFonts w:ascii="Times New Roman" w:hAnsi="Times New Roman" w:cs="Times New Roman"/>
        </w:rPr>
        <w:t xml:space="preserve"> progettuale è la dr.ss</w:t>
      </w:r>
      <w:r>
        <w:rPr>
          <w:rFonts w:ascii="Times New Roman" w:hAnsi="Times New Roman" w:cs="Times New Roman"/>
        </w:rPr>
        <w:t xml:space="preserve">a Anna Quarta Rizzato, Responsabile del Settore I – Affari Generali del Comune di Monteroni di Lecce</w:t>
      </w:r>
      <w:r>
        <w:rPr>
          <w:rFonts w:ascii="Times New Roman" w:hAnsi="Times New Roman" w:cs="Times New Roman"/>
        </w:rPr>
        <w:t xml:space="preserve">. </w:t>
      </w:r>
      <w:r>
        <w:rPr>
          <w:rFonts w:ascii="Times New Roman" w:hAnsi="Times New Roman" w:cs="Times New Roman"/>
        </w:rPr>
        <w:t xml:space="preserve">Ogni informazion</w:t>
      </w:r>
      <w:r>
        <w:rPr>
          <w:rFonts w:ascii="Times New Roman" w:hAnsi="Times New Roman" w:cs="Times New Roman"/>
        </w:rPr>
        <w:t xml:space="preserve">e potrà essere richiesta al RUP</w:t>
      </w:r>
      <w:r>
        <w:rPr>
          <w:rFonts w:ascii="Times New Roman" w:hAnsi="Times New Roman" w:cs="Times New Roman"/>
        </w:rPr>
        <w:t xml:space="preserve"> attraverso messaggio di posta elettronica, al seguente indirizzo</w:t>
      </w:r>
      <w:r>
        <w:t xml:space="preserve">: pro</w:t>
      </w:r>
      <w:r/>
    </w:p>
    <w:p w14:paraId="517FBDEF" w14:textId="77777777">
      <w:pPr>
        <w:pBdr/>
        <w:spacing w:after="0" w:line="360" w:lineRule="auto"/>
        <w:ind/>
        <w:jc w:val="both"/>
        <w:rPr>
          <w:b/>
          <w:bCs/>
        </w:rPr>
      </w:pPr>
      <w:r>
        <w:rPr>
          <w:b/>
          <w:bCs/>
        </w:rPr>
      </w:r>
      <w:r>
        <w:rPr>
          <w:b/>
          <w:bCs/>
        </w:rPr>
      </w:r>
    </w:p>
    <w:p w14:paraId="22000DC3" w14:textId="7EB3D108">
      <w:pPr>
        <w:pBdr/>
        <w:spacing w:after="0" w:line="360" w:lineRule="auto"/>
        <w:ind/>
        <w:jc w:val="both"/>
        <w:rPr>
          <w:rFonts w:ascii="Times New Roman" w:hAnsi="Times New Roman" w:cs="Times New Roman"/>
          <w:b/>
          <w:bCs/>
        </w:rPr>
      </w:pPr>
      <w:r>
        <w:rPr>
          <w:rFonts w:ascii="Times New Roman" w:hAnsi="Times New Roman" w:cs="Times New Roman"/>
          <w:b/>
          <w:bCs/>
        </w:rPr>
        <w:t xml:space="preserve">Art. 7 – Rinvio</w:t>
      </w:r>
      <w:r>
        <w:rPr>
          <w:rFonts w:ascii="Times New Roman" w:hAnsi="Times New Roman" w:cs="Times New Roman"/>
          <w:b/>
          <w:bCs/>
        </w:rPr>
      </w:r>
    </w:p>
    <w:p w14:paraId="3F7D6203" w14:textId="44F3CDB9">
      <w:pPr>
        <w:pBdr/>
        <w:spacing w:after="0" w:line="360" w:lineRule="auto"/>
        <w:ind/>
        <w:jc w:val="both"/>
        <w:rPr>
          <w:rFonts w:ascii="Times New Roman" w:hAnsi="Times New Roman" w:cs="Times New Roman"/>
        </w:rPr>
      </w:pPr>
      <w:r>
        <w:rPr>
          <w:rFonts w:ascii="Times New Roman" w:hAnsi="Times New Roman" w:cs="Times New Roman"/>
        </w:rPr>
        <w:t xml:space="preserve">Per quanto non espressamente previsto dal presente </w:t>
      </w:r>
      <w:r>
        <w:rPr>
          <w:rFonts w:ascii="Times New Roman" w:hAnsi="Times New Roman" w:cs="Times New Roman"/>
        </w:rPr>
        <w:t xml:space="preserve">avviso</w:t>
      </w:r>
      <w:r>
        <w:rPr>
          <w:rFonts w:ascii="Times New Roman" w:hAnsi="Times New Roman" w:cs="Times New Roman"/>
        </w:rPr>
        <w:t xml:space="preserve"> si rinvia alle disposizioni normative e regolamentari vigenti in materia ed all’avviso pubblico </w:t>
      </w:r>
      <w:r>
        <w:rPr>
          <w:rFonts w:ascii="Times New Roman" w:hAnsi="Times New Roman" w:cs="Times New Roman"/>
        </w:rPr>
        <w:t xml:space="preserve">del Ministero della Cultura</w:t>
      </w:r>
      <w:r>
        <w:rPr>
          <w:rFonts w:ascii="Times New Roman" w:hAnsi="Times New Roman" w:cs="Times New Roman"/>
        </w:rPr>
        <w:t xml:space="preserve">.</w:t>
      </w:r>
      <w:r>
        <w:rPr>
          <w:rFonts w:ascii="Times New Roman" w:hAnsi="Times New Roman" w:cs="Times New Roman"/>
        </w:rPr>
      </w:r>
    </w:p>
    <w:p w14:paraId="32978089" w14:textId="0BA3F480">
      <w:pPr>
        <w:pBdr/>
        <w:spacing w:after="0" w:line="360" w:lineRule="auto"/>
        <w:ind/>
        <w:jc w:val="both"/>
        <w:rPr/>
      </w:pPr>
      <w: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h="16840" w:orient="portrait" w:w="11900"/>
      <w:pgMar w:top="2240" w:right="992" w:bottom="800" w:left="992" w:header="697" w:footer="604"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679DC9" w14:textId="77777777">
      <w:pPr>
        <w:pBdr/>
        <w:spacing w:after="0" w:line="240" w:lineRule="auto"/>
        <w:ind/>
        <w:rPr/>
      </w:pPr>
      <w:r>
        <w:separator/>
      </w:r>
      <w:r/>
    </w:p>
  </w:endnote>
  <w:endnote w:type="continuationSeparator" w:id="0">
    <w:p w14:paraId="0C5F85D6"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Symbol">
    <w:panose1 w:val="05050102010706020507"/>
  </w:font>
  <w:font w:name="Wingdings">
    <w:panose1 w:val="05000000000000000000"/>
  </w:font>
  <w:font w:name="Courier New">
    <w:panose1 w:val="020703090202050204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0940017"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2497712"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79C889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363011" w14:textId="77777777">
      <w:pPr>
        <w:pBdr/>
        <w:spacing w:after="0" w:line="240" w:lineRule="auto"/>
        <w:ind/>
        <w:rPr/>
      </w:pPr>
      <w:r>
        <w:separator/>
      </w:r>
      <w:r/>
    </w:p>
  </w:footnote>
  <w:footnote w:type="continuationSeparator" w:id="0">
    <w:p w14:paraId="3BE139DE"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DE5769D" w14:textId="68A40760">
    <w:pPr>
      <w:pStyle w:val="850"/>
      <w:pBdr/>
      <w:spacing/>
      <w:ind/>
      <w:jc w:val="center"/>
      <w:rPr>
        <w:rFonts w:ascii="Arial" w:hAnsi="Arial" w:cs="Arial"/>
        <w:sz w:val="40"/>
        <w:szCs w:val="40"/>
      </w:rPr>
    </w:pPr>
    <w:r>
      <w:rPr>
        <w:rFonts w:ascii="Arial" w:hAnsi="Arial" w:cs="Arial"/>
        <w:sz w:val="40"/>
        <w:szCs w:val="40"/>
        <w:lang w:eastAsia="it-IT"/>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margin">
                <wp:posOffset>-263053</wp:posOffset>
              </wp:positionH>
              <wp:positionV relativeFrom="margin">
                <wp:posOffset>-1229995</wp:posOffset>
              </wp:positionV>
              <wp:extent cx="848995" cy="1040130"/>
              <wp:effectExtent l="0" t="0" r="1905" b="1270"/>
              <wp:wrapSquare wrapText="bothSides"/>
              <wp:docPr id="1"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a:picLocks noChangeAspect="1"/>
                      </pic:cNvPicPr>
                      <pic:nvPr/>
                    </pic:nvPicPr>
                    <pic:blipFill rotWithShape="1">
                      <a:blip r:embed="rId1"/>
                      <a:stretch/>
                    </pic:blipFill>
                    <pic:spPr bwMode="auto">
                      <a:xfrm>
                        <a:off x="0" y="0"/>
                        <a:ext cx="848995" cy="1040129"/>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margin;margin-left:-20.71pt;mso-position-horizontal:absolute;mso-position-vertical-relative:margin;margin-top:-96.85pt;mso-position-vertical:absolute;width:66.85pt;height:81.90pt;mso-wrap-distance-left:9.00pt;mso-wrap-distance-top:0.00pt;mso-wrap-distance-right:9.00pt;mso-wrap-distance-bottom:0.00pt;z-index:1;" stroked="false">
              <w10:wrap type="square"/>
              <v:imagedata r:id="rId1" o:title=""/>
              <o:lock v:ext="edit" rotation="t"/>
            </v:shape>
          </w:pict>
        </mc:Fallback>
      </mc:AlternateContent>
    </w:r>
    <w:r>
      <w:rPr>
        <w:rFonts w:ascii="Arial" w:hAnsi="Arial" w:cs="Arial"/>
        <w:sz w:val="40"/>
        <w:szCs w:val="40"/>
      </w:rPr>
      <w:t xml:space="preserve">COMUNE DI MONTERONI DI LECCE</w:t>
    </w:r>
    <w:r>
      <w:rPr>
        <w:rFonts w:ascii="Arial" w:hAnsi="Arial" w:cs="Arial"/>
        <w:sz w:val="40"/>
        <w:szCs w:val="40"/>
      </w:rPr>
    </w:r>
  </w:p>
  <w:p w14:paraId="4704488A" w14:textId="77777777">
    <w:pPr>
      <w:pStyle w:val="850"/>
      <w:pBdr/>
      <w:spacing/>
      <w:ind/>
      <w:jc w:val="center"/>
      <w:rPr>
        <w:rFonts w:ascii="Arial" w:hAnsi="Arial" w:cs="Arial"/>
      </w:rPr>
    </w:pPr>
    <w:r>
      <w:rPr>
        <w:rFonts w:ascii="Arial" w:hAnsi="Arial" w:cs="Arial"/>
      </w:rPr>
      <w:t xml:space="preserve">Piazza Falconieri - 73047 Monteroni</w:t>
    </w:r>
    <w:r>
      <w:rPr>
        <w:rFonts w:ascii="Arial" w:hAnsi="Arial" w:cs="Arial"/>
      </w:rPr>
    </w:r>
  </w:p>
  <w:p w14:paraId="0A5FB85E" w14:textId="4D419954">
    <w:pPr>
      <w:pStyle w:val="850"/>
      <w:pBdr/>
      <w:spacing/>
      <w:ind/>
      <w:jc w:val="center"/>
      <w:rPr>
        <w:rFonts w:ascii="Arial" w:hAnsi="Arial" w:cs="Arial"/>
      </w:rPr>
    </w:pPr>
    <w:r>
      <w:rPr>
        <w:rFonts w:ascii="Arial" w:hAnsi="Arial" w:cs="Arial"/>
      </w:rPr>
      <w:t xml:space="preserve">PEC: </w:t>
    </w:r>
    <w:hyperlink r:id="rId2" w:tooltip="PEC Città di Monteroni di Lecce" w:history="1">
      <w:r>
        <w:rPr>
          <w:rStyle w:val="848"/>
          <w:rFonts w:ascii="Arial" w:hAnsi="Arial" w:cs="Arial"/>
        </w:rPr>
        <w:t xml:space="preserve">protocollogenerale.comune.monteroni@pec.rupar.puglia.it</w:t>
      </w:r>
    </w:hyperlink>
    <w:r>
      <w:rPr>
        <w:rFonts w:ascii="Arial" w:hAnsi="Arial" w:cs="Arial"/>
      </w:rPr>
      <w:br/>
      <w:t xml:space="preserve">Codice fiscale: 93003530750</w:t>
    </w:r>
    <w:r>
      <w:rPr>
        <w:rFonts w:ascii="Arial" w:hAnsi="Arial" w:cs="Arial"/>
      </w:rPr>
    </w:r>
  </w:p>
  <w:p w14:paraId="35F26393" w14:textId="1530A6A6">
    <w:pPr>
      <w:pStyle w:val="850"/>
      <w:pBdr/>
      <w:spacing/>
      <w:ind w:left="-284"/>
      <w:jc w:val="center"/>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0034E01" w14:textId="77777777">
    <w:pPr>
      <w:pStyle w:val="850"/>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45F019E" w14:textId="77777777">
    <w:pPr>
      <w:pStyle w:val="850"/>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8061A"/>
    <w:lvl w:ilvl="0">
      <w:isLgl w:val="false"/>
      <w:lvlJc w:val="left"/>
      <w:lvlText w:val="o"/>
      <w:numFmt w:val="bullet"/>
      <w:pPr>
        <w:pBdr/>
        <w:spacing/>
        <w:ind w:hanging="360" w:left="1854"/>
      </w:pPr>
      <w:rPr>
        <w:rFonts w:hint="default" w:ascii="Courier New" w:hAnsi="Courier New" w:eastAsia="Courier New" w:cs="Courier New"/>
        <w:b w:val="0"/>
        <w:bCs w:val="0"/>
        <w:i w:val="0"/>
        <w:iCs w:val="0"/>
        <w:spacing w:val="0"/>
        <w:sz w:val="24"/>
        <w:szCs w:val="24"/>
        <w:lang w:val="it-IT" w:eastAsia="en-US" w:bidi="ar-SA"/>
      </w:rPr>
      <w:start w:val="0"/>
      <w:suff w:val="tab"/>
    </w:lvl>
    <w:lvl w:ilvl="1">
      <w:isLgl w:val="false"/>
      <w:lvlJc w:val="left"/>
      <w:lvlText w:val="o"/>
      <w:numFmt w:val="bullet"/>
      <w:pPr>
        <w:pBdr/>
        <w:spacing/>
        <w:ind w:hanging="360" w:left="2574"/>
      </w:pPr>
      <w:rPr>
        <w:rFonts w:hint="default" w:ascii="Courier New" w:hAnsi="Courier New" w:cs="Courier New"/>
      </w:rPr>
      <w:start w:val="1"/>
      <w:suff w:val="tab"/>
    </w:lvl>
    <w:lvl w:ilvl="2">
      <w:isLgl w:val="false"/>
      <w:lvlJc w:val="left"/>
      <w:lvlText w:val=""/>
      <w:numFmt w:val="bullet"/>
      <w:pPr>
        <w:pBdr/>
        <w:spacing/>
        <w:ind w:hanging="360" w:left="3294"/>
      </w:pPr>
      <w:rPr>
        <w:rFonts w:hint="default" w:ascii="Wingdings" w:hAnsi="Wingdings"/>
      </w:rPr>
      <w:start w:val="1"/>
      <w:suff w:val="tab"/>
    </w:lvl>
    <w:lvl w:ilvl="3">
      <w:isLgl w:val="false"/>
      <w:lvlJc w:val="left"/>
      <w:lvlText w:val=""/>
      <w:numFmt w:val="bullet"/>
      <w:pPr>
        <w:pBdr/>
        <w:spacing/>
        <w:ind w:hanging="360" w:left="4014"/>
      </w:pPr>
      <w:rPr>
        <w:rFonts w:hint="default" w:ascii="Symbol" w:hAnsi="Symbol"/>
      </w:rPr>
      <w:start w:val="1"/>
      <w:suff w:val="tab"/>
    </w:lvl>
    <w:lvl w:ilvl="4">
      <w:isLgl w:val="false"/>
      <w:lvlJc w:val="left"/>
      <w:lvlText w:val="o"/>
      <w:numFmt w:val="bullet"/>
      <w:pPr>
        <w:pBdr/>
        <w:spacing/>
        <w:ind w:hanging="360" w:left="4734"/>
      </w:pPr>
      <w:rPr>
        <w:rFonts w:hint="default" w:ascii="Courier New" w:hAnsi="Courier New" w:cs="Courier New"/>
      </w:rPr>
      <w:start w:val="1"/>
      <w:suff w:val="tab"/>
    </w:lvl>
    <w:lvl w:ilvl="5">
      <w:isLgl w:val="false"/>
      <w:lvlJc w:val="left"/>
      <w:lvlText w:val=""/>
      <w:numFmt w:val="bullet"/>
      <w:pPr>
        <w:pBdr/>
        <w:spacing/>
        <w:ind w:hanging="360" w:left="5454"/>
      </w:pPr>
      <w:rPr>
        <w:rFonts w:hint="default" w:ascii="Wingdings" w:hAnsi="Wingdings"/>
      </w:rPr>
      <w:start w:val="1"/>
      <w:suff w:val="tab"/>
    </w:lvl>
    <w:lvl w:ilvl="6">
      <w:isLgl w:val="false"/>
      <w:lvlJc w:val="left"/>
      <w:lvlText w:val=""/>
      <w:numFmt w:val="bullet"/>
      <w:pPr>
        <w:pBdr/>
        <w:spacing/>
        <w:ind w:hanging="360" w:left="6174"/>
      </w:pPr>
      <w:rPr>
        <w:rFonts w:hint="default" w:ascii="Symbol" w:hAnsi="Symbol"/>
      </w:rPr>
      <w:start w:val="1"/>
      <w:suff w:val="tab"/>
    </w:lvl>
    <w:lvl w:ilvl="7">
      <w:isLgl w:val="false"/>
      <w:lvlJc w:val="left"/>
      <w:lvlText w:val="o"/>
      <w:numFmt w:val="bullet"/>
      <w:pPr>
        <w:pBdr/>
        <w:spacing/>
        <w:ind w:hanging="360" w:left="6894"/>
      </w:pPr>
      <w:rPr>
        <w:rFonts w:hint="default" w:ascii="Courier New" w:hAnsi="Courier New" w:cs="Courier New"/>
      </w:rPr>
      <w:start w:val="1"/>
      <w:suff w:val="tab"/>
    </w:lvl>
    <w:lvl w:ilvl="8">
      <w:isLgl w:val="false"/>
      <w:lvlJc w:val="left"/>
      <w:lvlText w:val=""/>
      <w:numFmt w:val="bullet"/>
      <w:pPr>
        <w:pBdr/>
        <w:spacing/>
        <w:ind w:hanging="360" w:left="7614"/>
      </w:pPr>
      <w:rPr>
        <w:rFonts w:hint="default" w:ascii="Wingdings" w:hAnsi="Wingdings"/>
      </w:rPr>
      <w:start w:val="1"/>
      <w:suff w:val="tab"/>
    </w:lvl>
  </w:abstractNum>
  <w:abstractNum w:abstractNumId="1">
    <w:nsid w:val="12795AEF"/>
    <w:lvl w:ilvl="0">
      <w:isLgl w:val="false"/>
      <w:lvlJc w:val="left"/>
      <w:lvlText w:val="o"/>
      <w:numFmt w:val="bullet"/>
      <w:pPr>
        <w:pBdr/>
        <w:spacing/>
        <w:ind w:hanging="360" w:left="720"/>
      </w:pPr>
      <w:rPr>
        <w:rFonts w:hint="default" w:ascii="Courier New" w:hAnsi="Courier New" w:cs="Courier New"/>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1D044921"/>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21BC5127"/>
    <w:lvl w:ilvl="0">
      <w:isLgl w:val="false"/>
      <w:lvlJc w:val="left"/>
      <w:lvlText w:val=""/>
      <w:numFmt w:val="bullet"/>
      <w:pPr>
        <w:pBdr/>
        <w:spacing/>
        <w:ind w:hanging="360" w:left="720"/>
      </w:pPr>
      <w:rPr>
        <w:rFonts w:hint="default" w:ascii="Symbol" w:hAnsi="Symbol" w:eastAsia="Symbol" w:cs="Symbol"/>
        <w:b w:val="0"/>
        <w:bCs w:val="0"/>
        <w:i w:val="0"/>
        <w:iCs w:val="0"/>
        <w:spacing w:val="0"/>
        <w:sz w:val="24"/>
        <w:szCs w:val="24"/>
        <w:lang w:val="it-IT" w:eastAsia="en-US" w:bidi="ar-SA"/>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22A4333E"/>
    <w:lvl w:ilvl="0">
      <w:isLgl w:val="false"/>
      <w:lvlJc w:val="left"/>
      <w:lvlText w:val="%1)"/>
      <w:numFmt w:val="lowerLetter"/>
      <w:pPr>
        <w:pBdr/>
        <w:spacing/>
        <w:ind w:hanging="360" w:left="1146"/>
      </w:pPr>
      <w:rPr/>
      <w:start w:val="1"/>
      <w:suff w:val="tab"/>
    </w:lvl>
    <w:lvl w:ilvl="1">
      <w:isLgl w:val="false"/>
      <w:lvlJc w:val="left"/>
      <w:lvlText w:val="%2."/>
      <w:numFmt w:val="lowerLetter"/>
      <w:pPr>
        <w:pBdr/>
        <w:spacing/>
        <w:ind w:hanging="360" w:left="1866"/>
      </w:pPr>
      <w:rPr/>
      <w:start w:val="1"/>
      <w:suff w:val="tab"/>
    </w:lvl>
    <w:lvl w:ilvl="2">
      <w:isLgl w:val="false"/>
      <w:lvlJc w:val="right"/>
      <w:lvlText w:val="%3."/>
      <w:numFmt w:val="lowerRoman"/>
      <w:pPr>
        <w:pBdr/>
        <w:spacing/>
        <w:ind w:hanging="180" w:left="2586"/>
      </w:pPr>
      <w:rPr/>
      <w:start w:val="1"/>
      <w:suff w:val="tab"/>
    </w:lvl>
    <w:lvl w:ilvl="3">
      <w:isLgl w:val="false"/>
      <w:lvlJc w:val="left"/>
      <w:lvlText w:val="%4."/>
      <w:numFmt w:val="decimal"/>
      <w:pPr>
        <w:pBdr/>
        <w:spacing/>
        <w:ind w:hanging="360" w:left="3306"/>
      </w:pPr>
      <w:rPr/>
      <w:start w:val="1"/>
      <w:suff w:val="tab"/>
    </w:lvl>
    <w:lvl w:ilvl="4">
      <w:isLgl w:val="false"/>
      <w:lvlJc w:val="left"/>
      <w:lvlText w:val="%5."/>
      <w:numFmt w:val="lowerLetter"/>
      <w:pPr>
        <w:pBdr/>
        <w:spacing/>
        <w:ind w:hanging="360" w:left="4026"/>
      </w:pPr>
      <w:rPr/>
      <w:start w:val="1"/>
      <w:suff w:val="tab"/>
    </w:lvl>
    <w:lvl w:ilvl="5">
      <w:isLgl w:val="false"/>
      <w:lvlJc w:val="right"/>
      <w:lvlText w:val="%6."/>
      <w:numFmt w:val="lowerRoman"/>
      <w:pPr>
        <w:pBdr/>
        <w:spacing/>
        <w:ind w:hanging="180" w:left="4746"/>
      </w:pPr>
      <w:rPr/>
      <w:start w:val="1"/>
      <w:suff w:val="tab"/>
    </w:lvl>
    <w:lvl w:ilvl="6">
      <w:isLgl w:val="false"/>
      <w:lvlJc w:val="left"/>
      <w:lvlText w:val="%7."/>
      <w:numFmt w:val="decimal"/>
      <w:pPr>
        <w:pBdr/>
        <w:spacing/>
        <w:ind w:hanging="360" w:left="5466"/>
      </w:pPr>
      <w:rPr/>
      <w:start w:val="1"/>
      <w:suff w:val="tab"/>
    </w:lvl>
    <w:lvl w:ilvl="7">
      <w:isLgl w:val="false"/>
      <w:lvlJc w:val="left"/>
      <w:lvlText w:val="%8."/>
      <w:numFmt w:val="lowerLetter"/>
      <w:pPr>
        <w:pBdr/>
        <w:spacing/>
        <w:ind w:hanging="360" w:left="6186"/>
      </w:pPr>
      <w:rPr/>
      <w:start w:val="1"/>
      <w:suff w:val="tab"/>
    </w:lvl>
    <w:lvl w:ilvl="8">
      <w:isLgl w:val="false"/>
      <w:lvlJc w:val="right"/>
      <w:lvlText w:val="%9."/>
      <w:numFmt w:val="lowerRoman"/>
      <w:pPr>
        <w:pBdr/>
        <w:spacing/>
        <w:ind w:hanging="180" w:left="6906"/>
      </w:pPr>
      <w:rPr/>
      <w:start w:val="1"/>
      <w:suff w:val="tab"/>
    </w:lvl>
  </w:abstractNum>
  <w:abstractNum w:abstractNumId="5">
    <w:nsid w:val="24614C17"/>
    <w:lvl w:ilvl="0">
      <w:isLgl w:val="false"/>
      <w:lvlJc w:val="left"/>
      <w:lvlText w:val=""/>
      <w:numFmt w:val="bullet"/>
      <w:pPr>
        <w:pBdr/>
        <w:spacing/>
        <w:ind w:hanging="360" w:left="502"/>
      </w:pPr>
      <w:rPr>
        <w:rFonts w:hint="default" w:ascii="Symbol" w:hAnsi="Symbol" w:eastAsia="Symbol" w:cs="Symbol"/>
        <w:b w:val="0"/>
        <w:bCs w:val="0"/>
        <w:i w:val="0"/>
        <w:iCs w:val="0"/>
        <w:spacing w:val="0"/>
        <w:sz w:val="24"/>
        <w:szCs w:val="24"/>
        <w:lang w:val="it-IT" w:eastAsia="en-US" w:bidi="ar-SA"/>
      </w:rPr>
      <w:start w:val="0"/>
      <w:suff w:val="tab"/>
    </w:lvl>
    <w:lvl w:ilvl="1">
      <w:isLgl w:val="false"/>
      <w:lvlJc w:val="left"/>
      <w:lvlText w:val="o"/>
      <w:numFmt w:val="bullet"/>
      <w:pPr>
        <w:pBdr/>
        <w:spacing/>
        <w:ind w:hanging="360" w:left="1514"/>
      </w:pPr>
      <w:rPr>
        <w:rFonts w:hint="default" w:ascii="Courier New" w:hAnsi="Courier New" w:eastAsia="Courier New" w:cs="Courier New"/>
        <w:b w:val="0"/>
        <w:bCs w:val="0"/>
        <w:i w:val="0"/>
        <w:iCs w:val="0"/>
        <w:spacing w:val="0"/>
        <w:sz w:val="24"/>
        <w:szCs w:val="24"/>
        <w:lang w:val="it-IT" w:eastAsia="en-US" w:bidi="ar-SA"/>
      </w:rPr>
      <w:start w:val="0"/>
      <w:suff w:val="tab"/>
    </w:lvl>
    <w:lvl w:ilvl="2">
      <w:isLgl w:val="false"/>
      <w:lvlJc w:val="left"/>
      <w:lvlText w:val="•"/>
      <w:numFmt w:val="bullet"/>
      <w:pPr>
        <w:pBdr/>
        <w:spacing/>
        <w:ind w:hanging="360" w:left="2440"/>
      </w:pPr>
      <w:rPr>
        <w:lang w:val="it-IT" w:eastAsia="en-US" w:bidi="ar-SA"/>
      </w:rPr>
      <w:start w:val="0"/>
      <w:suff w:val="tab"/>
    </w:lvl>
    <w:lvl w:ilvl="3">
      <w:isLgl w:val="false"/>
      <w:lvlJc w:val="left"/>
      <w:lvlText w:val="•"/>
      <w:numFmt w:val="bullet"/>
      <w:pPr>
        <w:pBdr/>
        <w:spacing/>
        <w:ind w:hanging="360" w:left="3366"/>
      </w:pPr>
      <w:rPr>
        <w:lang w:val="it-IT" w:eastAsia="en-US" w:bidi="ar-SA"/>
      </w:rPr>
      <w:start w:val="0"/>
      <w:suff w:val="tab"/>
    </w:lvl>
    <w:lvl w:ilvl="4">
      <w:isLgl w:val="false"/>
      <w:lvlJc w:val="left"/>
      <w:lvlText w:val="•"/>
      <w:numFmt w:val="bullet"/>
      <w:pPr>
        <w:pBdr/>
        <w:spacing/>
        <w:ind w:hanging="360" w:left="4292"/>
      </w:pPr>
      <w:rPr>
        <w:lang w:val="it-IT" w:eastAsia="en-US" w:bidi="ar-SA"/>
      </w:rPr>
      <w:start w:val="0"/>
      <w:suff w:val="tab"/>
    </w:lvl>
    <w:lvl w:ilvl="5">
      <w:isLgl w:val="false"/>
      <w:lvlJc w:val="left"/>
      <w:lvlText w:val="•"/>
      <w:numFmt w:val="bullet"/>
      <w:pPr>
        <w:pBdr/>
        <w:spacing/>
        <w:ind w:hanging="360" w:left="5218"/>
      </w:pPr>
      <w:rPr>
        <w:lang w:val="it-IT" w:eastAsia="en-US" w:bidi="ar-SA"/>
      </w:rPr>
      <w:start w:val="0"/>
      <w:suff w:val="tab"/>
    </w:lvl>
    <w:lvl w:ilvl="6">
      <w:isLgl w:val="false"/>
      <w:lvlJc w:val="left"/>
      <w:lvlText w:val="•"/>
      <w:numFmt w:val="bullet"/>
      <w:pPr>
        <w:pBdr/>
        <w:spacing/>
        <w:ind w:hanging="360" w:left="6145"/>
      </w:pPr>
      <w:rPr>
        <w:lang w:val="it-IT" w:eastAsia="en-US" w:bidi="ar-SA"/>
      </w:rPr>
      <w:start w:val="0"/>
      <w:suff w:val="tab"/>
    </w:lvl>
    <w:lvl w:ilvl="7">
      <w:isLgl w:val="false"/>
      <w:lvlJc w:val="left"/>
      <w:lvlText w:val="•"/>
      <w:numFmt w:val="bullet"/>
      <w:pPr>
        <w:pBdr/>
        <w:spacing/>
        <w:ind w:hanging="360" w:left="7071"/>
      </w:pPr>
      <w:rPr>
        <w:lang w:val="it-IT" w:eastAsia="en-US" w:bidi="ar-SA"/>
      </w:rPr>
      <w:start w:val="0"/>
      <w:suff w:val="tab"/>
    </w:lvl>
    <w:lvl w:ilvl="8">
      <w:isLgl w:val="false"/>
      <w:lvlJc w:val="left"/>
      <w:lvlText w:val="•"/>
      <w:numFmt w:val="bullet"/>
      <w:pPr>
        <w:pBdr/>
        <w:spacing/>
        <w:ind w:hanging="360" w:left="7997"/>
      </w:pPr>
      <w:rPr>
        <w:lang w:val="it-IT" w:eastAsia="en-US" w:bidi="ar-SA"/>
      </w:rPr>
      <w:start w:val="0"/>
      <w:suff w:val="tab"/>
    </w:lvl>
  </w:abstractNum>
  <w:abstractNum w:abstractNumId="6">
    <w:nsid w:val="39DC7A0A"/>
    <w:lvl w:ilvl="0">
      <w:isLgl w:val="false"/>
      <w:lvlJc w:val="left"/>
      <w:lvlText w:val="%1."/>
      <w:numFmt w:val="lowerLetter"/>
      <w:pPr>
        <w:pBdr/>
        <w:spacing/>
        <w:ind w:hanging="360" w:left="786"/>
      </w:pPr>
      <w:rPr>
        <w:rFonts w:hint="default"/>
      </w:rPr>
      <w:start w:val="1"/>
      <w:suff w:val="tab"/>
    </w:lvl>
    <w:lvl w:ilvl="1">
      <w:isLgl w:val="false"/>
      <w:lvlJc w:val="left"/>
      <w:lvlText w:val="%2."/>
      <w:numFmt w:val="lowerLetter"/>
      <w:pPr>
        <w:pBdr/>
        <w:spacing/>
        <w:ind w:hanging="360" w:left="1506"/>
      </w:pPr>
      <w:rPr/>
      <w:start w:val="1"/>
      <w:suff w:val="tab"/>
    </w:lvl>
    <w:lvl w:ilvl="2">
      <w:isLgl w:val="false"/>
      <w:lvlJc w:val="right"/>
      <w:lvlText w:val="%3."/>
      <w:numFmt w:val="lowerRoman"/>
      <w:pPr>
        <w:pBdr/>
        <w:spacing/>
        <w:ind w:hanging="180" w:left="2226"/>
      </w:pPr>
      <w:rPr/>
      <w:start w:val="1"/>
      <w:suff w:val="tab"/>
    </w:lvl>
    <w:lvl w:ilvl="3">
      <w:isLgl w:val="false"/>
      <w:lvlJc w:val="left"/>
      <w:lvlText w:val="%4."/>
      <w:numFmt w:val="decimal"/>
      <w:pPr>
        <w:pBdr/>
        <w:spacing/>
        <w:ind w:hanging="360" w:left="2946"/>
      </w:pPr>
      <w:rPr/>
      <w:start w:val="1"/>
      <w:suff w:val="tab"/>
    </w:lvl>
    <w:lvl w:ilvl="4">
      <w:isLgl w:val="false"/>
      <w:lvlJc w:val="left"/>
      <w:lvlText w:val="%5."/>
      <w:numFmt w:val="lowerLetter"/>
      <w:pPr>
        <w:pBdr/>
        <w:spacing/>
        <w:ind w:hanging="360" w:left="3666"/>
      </w:pPr>
      <w:rPr/>
      <w:start w:val="1"/>
      <w:suff w:val="tab"/>
    </w:lvl>
    <w:lvl w:ilvl="5">
      <w:isLgl w:val="false"/>
      <w:lvlJc w:val="right"/>
      <w:lvlText w:val="%6."/>
      <w:numFmt w:val="lowerRoman"/>
      <w:pPr>
        <w:pBdr/>
        <w:spacing/>
        <w:ind w:hanging="180" w:left="4386"/>
      </w:pPr>
      <w:rPr/>
      <w:start w:val="1"/>
      <w:suff w:val="tab"/>
    </w:lvl>
    <w:lvl w:ilvl="6">
      <w:isLgl w:val="false"/>
      <w:lvlJc w:val="left"/>
      <w:lvlText w:val="%7."/>
      <w:numFmt w:val="decimal"/>
      <w:pPr>
        <w:pBdr/>
        <w:spacing/>
        <w:ind w:hanging="360" w:left="5106"/>
      </w:pPr>
      <w:rPr/>
      <w:start w:val="1"/>
      <w:suff w:val="tab"/>
    </w:lvl>
    <w:lvl w:ilvl="7">
      <w:isLgl w:val="false"/>
      <w:lvlJc w:val="left"/>
      <w:lvlText w:val="%8."/>
      <w:numFmt w:val="lowerLetter"/>
      <w:pPr>
        <w:pBdr/>
        <w:spacing/>
        <w:ind w:hanging="360" w:left="5826"/>
      </w:pPr>
      <w:rPr/>
      <w:start w:val="1"/>
      <w:suff w:val="tab"/>
    </w:lvl>
    <w:lvl w:ilvl="8">
      <w:isLgl w:val="false"/>
      <w:lvlJc w:val="right"/>
      <w:lvlText w:val="%9."/>
      <w:numFmt w:val="lowerRoman"/>
      <w:pPr>
        <w:pBdr/>
        <w:spacing/>
        <w:ind w:hanging="180" w:left="6546"/>
      </w:pPr>
      <w:rPr/>
      <w:start w:val="1"/>
      <w:suff w:val="tab"/>
    </w:lvl>
  </w:abstractNum>
  <w:abstractNum w:abstractNumId="7">
    <w:nsid w:val="4E71145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5111512A"/>
    <w:lvl w:ilvl="0">
      <w:isLgl w:val="false"/>
      <w:lvlJc w:val="left"/>
      <w:lvlText w:val=""/>
      <w:numFmt w:val="bullet"/>
      <w:pPr>
        <w:pBdr/>
        <w:spacing/>
        <w:ind w:hanging="360" w:left="644"/>
      </w:pPr>
      <w:rPr>
        <w:rFonts w:hint="default" w:ascii="Symbol" w:hAnsi="Symbol" w:eastAsia="Symbol" w:cs="Symbol"/>
        <w:b w:val="0"/>
        <w:bCs w:val="0"/>
        <w:i w:val="0"/>
        <w:iCs w:val="0"/>
        <w:spacing w:val="0"/>
        <w:sz w:val="24"/>
        <w:szCs w:val="24"/>
        <w:lang w:val="it-IT" w:eastAsia="en-US" w:bidi="ar-SA"/>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nsid w:val="534E25D8"/>
    <w:lvl w:ilvl="0">
      <w:isLgl w:val="false"/>
      <w:lvlJc w:val="left"/>
      <w:lvlText w:val=""/>
      <w:numFmt w:val="bullet"/>
      <w:pPr>
        <w:pBdr/>
        <w:spacing/>
        <w:ind w:hanging="360" w:left="502"/>
      </w:pPr>
      <w:rPr>
        <w:rFonts w:hint="default" w:ascii="Symbol" w:hAnsi="Symbol" w:eastAsia="Symbol" w:cs="Symbol"/>
        <w:b w:val="0"/>
        <w:bCs w:val="0"/>
        <w:i w:val="0"/>
        <w:iCs w:val="0"/>
        <w:spacing w:val="0"/>
        <w:sz w:val="24"/>
        <w:szCs w:val="24"/>
        <w:lang w:val="it-IT" w:eastAsia="en-US" w:bidi="ar-SA"/>
      </w:rPr>
      <w:start w:val="0"/>
      <w:suff w:val="tab"/>
    </w:lvl>
    <w:lvl w:ilvl="1">
      <w:isLgl w:val="false"/>
      <w:lvlJc w:val="left"/>
      <w:lvlText w:val="o"/>
      <w:numFmt w:val="bullet"/>
      <w:pPr>
        <w:pBdr/>
        <w:spacing/>
        <w:ind w:hanging="360" w:left="1514"/>
      </w:pPr>
      <w:rPr>
        <w:rFonts w:hint="default" w:ascii="Courier New" w:hAnsi="Courier New" w:eastAsia="Courier New" w:cs="Courier New"/>
        <w:b w:val="0"/>
        <w:bCs w:val="0"/>
        <w:i w:val="0"/>
        <w:iCs w:val="0"/>
        <w:spacing w:val="0"/>
        <w:sz w:val="24"/>
        <w:szCs w:val="24"/>
        <w:lang w:val="it-IT" w:eastAsia="en-US" w:bidi="ar-SA"/>
      </w:rPr>
      <w:start w:val="0"/>
      <w:suff w:val="tab"/>
    </w:lvl>
    <w:lvl w:ilvl="2">
      <w:isLgl w:val="false"/>
      <w:lvlJc w:val="left"/>
      <w:lvlText w:val="•"/>
      <w:numFmt w:val="bullet"/>
      <w:pPr>
        <w:pBdr/>
        <w:spacing/>
        <w:ind w:hanging="360" w:left="2440"/>
      </w:pPr>
      <w:rPr>
        <w:lang w:val="it-IT" w:eastAsia="en-US" w:bidi="ar-SA"/>
      </w:rPr>
      <w:start w:val="0"/>
      <w:suff w:val="tab"/>
    </w:lvl>
    <w:lvl w:ilvl="3">
      <w:isLgl w:val="false"/>
      <w:lvlJc w:val="left"/>
      <w:lvlText w:val="•"/>
      <w:numFmt w:val="bullet"/>
      <w:pPr>
        <w:pBdr/>
        <w:spacing/>
        <w:ind w:hanging="360" w:left="3366"/>
      </w:pPr>
      <w:rPr>
        <w:lang w:val="it-IT" w:eastAsia="en-US" w:bidi="ar-SA"/>
      </w:rPr>
      <w:start w:val="0"/>
      <w:suff w:val="tab"/>
    </w:lvl>
    <w:lvl w:ilvl="4">
      <w:isLgl w:val="false"/>
      <w:lvlJc w:val="left"/>
      <w:lvlText w:val="•"/>
      <w:numFmt w:val="bullet"/>
      <w:pPr>
        <w:pBdr/>
        <w:spacing/>
        <w:ind w:hanging="360" w:left="4292"/>
      </w:pPr>
      <w:rPr>
        <w:lang w:val="it-IT" w:eastAsia="en-US" w:bidi="ar-SA"/>
      </w:rPr>
      <w:start w:val="0"/>
      <w:suff w:val="tab"/>
    </w:lvl>
    <w:lvl w:ilvl="5">
      <w:isLgl w:val="false"/>
      <w:lvlJc w:val="left"/>
      <w:lvlText w:val="•"/>
      <w:numFmt w:val="bullet"/>
      <w:pPr>
        <w:pBdr/>
        <w:spacing/>
        <w:ind w:hanging="360" w:left="5218"/>
      </w:pPr>
      <w:rPr>
        <w:lang w:val="it-IT" w:eastAsia="en-US" w:bidi="ar-SA"/>
      </w:rPr>
      <w:start w:val="0"/>
      <w:suff w:val="tab"/>
    </w:lvl>
    <w:lvl w:ilvl="6">
      <w:isLgl w:val="false"/>
      <w:lvlJc w:val="left"/>
      <w:lvlText w:val="•"/>
      <w:numFmt w:val="bullet"/>
      <w:pPr>
        <w:pBdr/>
        <w:spacing/>
        <w:ind w:hanging="360" w:left="6145"/>
      </w:pPr>
      <w:rPr>
        <w:lang w:val="it-IT" w:eastAsia="en-US" w:bidi="ar-SA"/>
      </w:rPr>
      <w:start w:val="0"/>
      <w:suff w:val="tab"/>
    </w:lvl>
    <w:lvl w:ilvl="7">
      <w:isLgl w:val="false"/>
      <w:lvlJc w:val="left"/>
      <w:lvlText w:val="•"/>
      <w:numFmt w:val="bullet"/>
      <w:pPr>
        <w:pBdr/>
        <w:spacing/>
        <w:ind w:hanging="360" w:left="7071"/>
      </w:pPr>
      <w:rPr>
        <w:lang w:val="it-IT" w:eastAsia="en-US" w:bidi="ar-SA"/>
      </w:rPr>
      <w:start w:val="0"/>
      <w:suff w:val="tab"/>
    </w:lvl>
    <w:lvl w:ilvl="8">
      <w:isLgl w:val="false"/>
      <w:lvlJc w:val="left"/>
      <w:lvlText w:val="•"/>
      <w:numFmt w:val="bullet"/>
      <w:pPr>
        <w:pBdr/>
        <w:spacing/>
        <w:ind w:hanging="360" w:left="7997"/>
      </w:pPr>
      <w:rPr>
        <w:lang w:val="it-IT" w:eastAsia="en-US" w:bidi="ar-SA"/>
      </w:rPr>
      <w:start w:val="0"/>
      <w:suff w:val="tab"/>
    </w:lvl>
  </w:abstractNum>
  <w:abstractNum w:abstractNumId="10">
    <w:nsid w:val="7CDE33F8"/>
    <w:lvl w:ilvl="0">
      <w:isLgl w:val="false"/>
      <w:lvlJc w:val="left"/>
      <w:lvlText w:val=""/>
      <w:numFmt w:val="bullet"/>
      <w:pPr>
        <w:pBdr/>
        <w:spacing/>
        <w:ind w:hanging="360" w:left="502"/>
      </w:pPr>
      <w:rPr>
        <w:rFonts w:hint="default" w:ascii="Symbol" w:hAnsi="Symbol" w:eastAsia="Symbol" w:cs="Symbol"/>
        <w:b w:val="0"/>
        <w:bCs w:val="0"/>
        <w:i w:val="0"/>
        <w:iCs w:val="0"/>
        <w:spacing w:val="0"/>
        <w:sz w:val="24"/>
        <w:szCs w:val="24"/>
        <w:lang w:val="it-IT" w:eastAsia="en-US" w:bidi="ar-SA"/>
      </w:rPr>
      <w:start w:val="0"/>
      <w:suff w:val="tab"/>
    </w:lvl>
    <w:lvl w:ilvl="1">
      <w:isLgl w:val="false"/>
      <w:lvlJc w:val="left"/>
      <w:lvlText w:val="-"/>
      <w:numFmt w:val="bullet"/>
      <w:pPr>
        <w:pBdr/>
        <w:spacing/>
        <w:ind w:hanging="360" w:left="1080"/>
      </w:pPr>
      <w:rPr>
        <w:rFonts w:hint="default" w:ascii="Times New Roman" w:hAnsi="Times New Roman" w:cs="Times New Roman" w:eastAsiaTheme="minorHAnsi"/>
      </w:rPr>
      <w:start w:val="3"/>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7D865A00"/>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7E932D57"/>
    <w:lvl w:ilvl="0">
      <w:isLgl w:val="false"/>
      <w:lvlJc w:val="left"/>
      <w:lvlText w:val=""/>
      <w:numFmt w:val="bullet"/>
      <w:pPr>
        <w:pBdr/>
        <w:spacing/>
        <w:ind w:hanging="360" w:left="720"/>
      </w:pPr>
      <w:rPr>
        <w:rFonts w:hint="default" w:ascii="Symbol" w:hAnsi="Symbol" w:eastAsia="Symbol" w:cs="Symbol"/>
        <w:b w:val="0"/>
        <w:bCs w:val="0"/>
        <w:i w:val="0"/>
        <w:iCs w:val="0"/>
        <w:spacing w:val="0"/>
        <w:sz w:val="24"/>
        <w:szCs w:val="24"/>
        <w:lang w:val="it-IT" w:eastAsia="en-US" w:bidi="ar-SA"/>
      </w:rPr>
      <w:start w:val="0"/>
      <w:suff w:val="tab"/>
    </w:lvl>
    <w:lvl w:ilvl="1">
      <w:isLgl w:val="false"/>
      <w:lvlJc w:val="left"/>
      <w:lvlText w:val=""/>
      <w:numFmt w:val="bullet"/>
      <w:pPr>
        <w:pBdr/>
        <w:spacing/>
        <w:ind w:hanging="360" w:left="502"/>
      </w:pPr>
      <w:rPr>
        <w:rFonts w:hint="default" w:ascii="Symbol" w:hAnsi="Symbol" w:eastAsia="Symbol" w:cs="Symbol"/>
        <w:b w:val="0"/>
        <w:bCs w:val="0"/>
        <w:i w:val="0"/>
        <w:iCs w:val="0"/>
        <w:spacing w:val="0"/>
        <w:sz w:val="24"/>
        <w:szCs w:val="24"/>
        <w:lang w:val="it-IT" w:eastAsia="en-US" w:bidi="ar-SA"/>
      </w:rPr>
      <w:start w:val="0"/>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9"/>
  </w:num>
  <w:num w:numId="2">
    <w:abstractNumId w:val="10"/>
  </w:num>
  <w:num w:numId="3">
    <w:abstractNumId w:val="5"/>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2"/>
  </w:num>
  <w:num w:numId="11">
    <w:abstractNumId w:val="0"/>
  </w:num>
  <w:num w:numId="12">
    <w:abstractNumId w:val="3"/>
  </w:num>
  <w:num w:numId="13">
    <w:abstractNumId w:val="4"/>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it-IT"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826"/>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82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2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2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2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2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2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2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2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2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2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2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2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2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2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2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2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2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2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2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2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2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2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2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2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2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2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2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2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2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2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2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2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2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2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2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2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2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2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2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2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2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2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2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2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2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2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2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2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2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2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2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2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2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2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2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2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2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2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2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2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2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2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2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2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2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2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2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2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2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2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2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2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2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2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2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2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2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2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2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2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2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2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2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2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2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2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2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82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2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2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2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82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2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2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2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2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2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2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2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2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2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2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2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2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2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2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2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825"/>
    <w:link w:val="816"/>
    <w:uiPriority w:val="9"/>
    <w:pPr>
      <w:pBdr/>
      <w:spacing/>
      <w:ind/>
    </w:pPr>
    <w:rPr>
      <w:rFonts w:ascii="Arial" w:hAnsi="Arial" w:eastAsia="Arial" w:cs="Arial"/>
      <w:color w:val="0f4761" w:themeColor="accent1" w:themeShade="BF"/>
      <w:sz w:val="40"/>
      <w:szCs w:val="40"/>
    </w:rPr>
  </w:style>
  <w:style w:type="character" w:styleId="151">
    <w:name w:val="Heading 2 Char"/>
    <w:basedOn w:val="825"/>
    <w:link w:val="817"/>
    <w:uiPriority w:val="9"/>
    <w:pPr>
      <w:pBdr/>
      <w:spacing/>
      <w:ind/>
    </w:pPr>
    <w:rPr>
      <w:rFonts w:ascii="Arial" w:hAnsi="Arial" w:eastAsia="Arial" w:cs="Arial"/>
      <w:color w:val="0f4761" w:themeColor="accent1" w:themeShade="BF"/>
      <w:sz w:val="32"/>
      <w:szCs w:val="32"/>
    </w:rPr>
  </w:style>
  <w:style w:type="character" w:styleId="152">
    <w:name w:val="Heading 3 Char"/>
    <w:basedOn w:val="825"/>
    <w:link w:val="818"/>
    <w:uiPriority w:val="9"/>
    <w:pPr>
      <w:pBdr/>
      <w:spacing/>
      <w:ind/>
    </w:pPr>
    <w:rPr>
      <w:rFonts w:ascii="Arial" w:hAnsi="Arial" w:eastAsia="Arial" w:cs="Arial"/>
      <w:color w:val="0f4761" w:themeColor="accent1" w:themeShade="BF"/>
      <w:sz w:val="28"/>
      <w:szCs w:val="28"/>
    </w:rPr>
  </w:style>
  <w:style w:type="character" w:styleId="153">
    <w:name w:val="Heading 4 Char"/>
    <w:basedOn w:val="825"/>
    <w:link w:val="819"/>
    <w:uiPriority w:val="9"/>
    <w:pPr>
      <w:pBdr/>
      <w:spacing/>
      <w:ind/>
    </w:pPr>
    <w:rPr>
      <w:rFonts w:ascii="Arial" w:hAnsi="Arial" w:eastAsia="Arial" w:cs="Arial"/>
      <w:i/>
      <w:iCs/>
      <w:color w:val="0f4761" w:themeColor="accent1" w:themeShade="BF"/>
    </w:rPr>
  </w:style>
  <w:style w:type="character" w:styleId="154">
    <w:name w:val="Heading 5 Char"/>
    <w:basedOn w:val="825"/>
    <w:link w:val="820"/>
    <w:uiPriority w:val="9"/>
    <w:pPr>
      <w:pBdr/>
      <w:spacing/>
      <w:ind/>
    </w:pPr>
    <w:rPr>
      <w:rFonts w:ascii="Arial" w:hAnsi="Arial" w:eastAsia="Arial" w:cs="Arial"/>
      <w:color w:val="0f4761" w:themeColor="accent1" w:themeShade="BF"/>
    </w:rPr>
  </w:style>
  <w:style w:type="character" w:styleId="155">
    <w:name w:val="Heading 6 Char"/>
    <w:basedOn w:val="825"/>
    <w:link w:val="821"/>
    <w:uiPriority w:val="9"/>
    <w:pPr>
      <w:pBdr/>
      <w:spacing/>
      <w:ind/>
    </w:pPr>
    <w:rPr>
      <w:rFonts w:ascii="Arial" w:hAnsi="Arial" w:eastAsia="Arial" w:cs="Arial"/>
      <w:i/>
      <w:iCs/>
      <w:color w:val="595959" w:themeColor="text1" w:themeTint="A6"/>
    </w:rPr>
  </w:style>
  <w:style w:type="character" w:styleId="156">
    <w:name w:val="Heading 7 Char"/>
    <w:basedOn w:val="825"/>
    <w:link w:val="822"/>
    <w:uiPriority w:val="9"/>
    <w:pPr>
      <w:pBdr/>
      <w:spacing/>
      <w:ind/>
    </w:pPr>
    <w:rPr>
      <w:rFonts w:ascii="Arial" w:hAnsi="Arial" w:eastAsia="Arial" w:cs="Arial"/>
      <w:color w:val="595959" w:themeColor="text1" w:themeTint="A6"/>
    </w:rPr>
  </w:style>
  <w:style w:type="character" w:styleId="157">
    <w:name w:val="Heading 8 Char"/>
    <w:basedOn w:val="825"/>
    <w:link w:val="823"/>
    <w:uiPriority w:val="9"/>
    <w:pPr>
      <w:pBdr/>
      <w:spacing/>
      <w:ind/>
    </w:pPr>
    <w:rPr>
      <w:rFonts w:ascii="Arial" w:hAnsi="Arial" w:eastAsia="Arial" w:cs="Arial"/>
      <w:i/>
      <w:iCs/>
      <w:color w:val="272727" w:themeColor="text1" w:themeTint="D8"/>
    </w:rPr>
  </w:style>
  <w:style w:type="character" w:styleId="158">
    <w:name w:val="Heading 9 Char"/>
    <w:basedOn w:val="825"/>
    <w:link w:val="824"/>
    <w:uiPriority w:val="9"/>
    <w:pPr>
      <w:pBdr/>
      <w:spacing/>
      <w:ind/>
    </w:pPr>
    <w:rPr>
      <w:rFonts w:ascii="Arial" w:hAnsi="Arial" w:eastAsia="Arial" w:cs="Arial"/>
      <w:i/>
      <w:iCs/>
      <w:color w:val="272727" w:themeColor="text1" w:themeTint="D8"/>
    </w:rPr>
  </w:style>
  <w:style w:type="character" w:styleId="160">
    <w:name w:val="Title Char"/>
    <w:basedOn w:val="825"/>
    <w:link w:val="837"/>
    <w:uiPriority w:val="10"/>
    <w:pPr>
      <w:pBdr/>
      <w:spacing/>
      <w:ind/>
    </w:pPr>
    <w:rPr>
      <w:rFonts w:ascii="Arial" w:hAnsi="Arial" w:eastAsia="Arial" w:cs="Arial"/>
      <w:spacing w:val="-10"/>
      <w:sz w:val="56"/>
      <w:szCs w:val="56"/>
    </w:rPr>
  </w:style>
  <w:style w:type="character" w:styleId="162">
    <w:name w:val="Subtitle Char"/>
    <w:basedOn w:val="825"/>
    <w:link w:val="839"/>
    <w:uiPriority w:val="11"/>
    <w:pPr>
      <w:pBdr/>
      <w:spacing/>
      <w:ind/>
    </w:pPr>
    <w:rPr>
      <w:color w:val="595959" w:themeColor="text1" w:themeTint="A6"/>
      <w:spacing w:val="15"/>
      <w:sz w:val="28"/>
      <w:szCs w:val="28"/>
    </w:rPr>
  </w:style>
  <w:style w:type="character" w:styleId="164">
    <w:name w:val="Quote Char"/>
    <w:basedOn w:val="825"/>
    <w:link w:val="841"/>
    <w:uiPriority w:val="29"/>
    <w:pPr>
      <w:pBdr/>
      <w:spacing/>
      <w:ind/>
    </w:pPr>
    <w:rPr>
      <w:i/>
      <w:iCs/>
      <w:color w:val="404040" w:themeColor="text1" w:themeTint="BF"/>
    </w:rPr>
  </w:style>
  <w:style w:type="character" w:styleId="168">
    <w:name w:val="Intense Quote Char"/>
    <w:basedOn w:val="825"/>
    <w:link w:val="845"/>
    <w:uiPriority w:val="30"/>
    <w:pPr>
      <w:pBdr/>
      <w:spacing/>
      <w:ind/>
    </w:pPr>
    <w:rPr>
      <w:i/>
      <w:iCs/>
      <w:color w:val="0f4761" w:themeColor="accent1" w:themeShade="BF"/>
    </w:rPr>
  </w:style>
  <w:style w:type="paragraph" w:styleId="170">
    <w:name w:val="No Spacing"/>
    <w:basedOn w:val="815"/>
    <w:uiPriority w:val="1"/>
    <w:qFormat/>
    <w:pPr>
      <w:pBdr/>
      <w:spacing w:after="0" w:line="240" w:lineRule="auto"/>
      <w:ind/>
    </w:pPr>
  </w:style>
  <w:style w:type="character" w:styleId="171">
    <w:name w:val="Subtle Emphasis"/>
    <w:basedOn w:val="825"/>
    <w:uiPriority w:val="19"/>
    <w:qFormat/>
    <w:pPr>
      <w:pBdr/>
      <w:spacing/>
      <w:ind/>
    </w:pPr>
    <w:rPr>
      <w:i/>
      <w:iCs/>
      <w:color w:val="404040" w:themeColor="text1" w:themeTint="BF"/>
    </w:rPr>
  </w:style>
  <w:style w:type="character" w:styleId="172">
    <w:name w:val="Emphasis"/>
    <w:basedOn w:val="825"/>
    <w:uiPriority w:val="20"/>
    <w:qFormat/>
    <w:pPr>
      <w:pBdr/>
      <w:spacing/>
      <w:ind/>
    </w:pPr>
    <w:rPr>
      <w:i/>
      <w:iCs/>
    </w:rPr>
  </w:style>
  <w:style w:type="character" w:styleId="173">
    <w:name w:val="Strong"/>
    <w:basedOn w:val="825"/>
    <w:uiPriority w:val="22"/>
    <w:qFormat/>
    <w:pPr>
      <w:pBdr/>
      <w:spacing/>
      <w:ind/>
    </w:pPr>
    <w:rPr>
      <w:b/>
      <w:bCs/>
    </w:rPr>
  </w:style>
  <w:style w:type="character" w:styleId="174">
    <w:name w:val="Subtle Reference"/>
    <w:basedOn w:val="825"/>
    <w:uiPriority w:val="31"/>
    <w:qFormat/>
    <w:pPr>
      <w:pBdr/>
      <w:spacing/>
      <w:ind/>
    </w:pPr>
    <w:rPr>
      <w:smallCaps/>
      <w:color w:val="5a5a5a" w:themeColor="text1" w:themeTint="A5"/>
    </w:rPr>
  </w:style>
  <w:style w:type="character" w:styleId="175">
    <w:name w:val="Book Title"/>
    <w:basedOn w:val="825"/>
    <w:uiPriority w:val="33"/>
    <w:qFormat/>
    <w:pPr>
      <w:pBdr/>
      <w:spacing/>
      <w:ind/>
    </w:pPr>
    <w:rPr>
      <w:b/>
      <w:bCs/>
      <w:i/>
      <w:iCs/>
      <w:spacing w:val="5"/>
    </w:rPr>
  </w:style>
  <w:style w:type="character" w:styleId="177">
    <w:name w:val="Header Char"/>
    <w:basedOn w:val="825"/>
    <w:link w:val="850"/>
    <w:uiPriority w:val="99"/>
    <w:pPr>
      <w:pBdr/>
      <w:spacing/>
      <w:ind/>
    </w:pPr>
  </w:style>
  <w:style w:type="character" w:styleId="179">
    <w:name w:val="Footer Char"/>
    <w:basedOn w:val="825"/>
    <w:link w:val="852"/>
    <w:uiPriority w:val="99"/>
    <w:pPr>
      <w:pBdr/>
      <w:spacing/>
      <w:ind/>
    </w:pPr>
  </w:style>
  <w:style w:type="paragraph" w:styleId="180">
    <w:name w:val="Caption"/>
    <w:basedOn w:val="815"/>
    <w:next w:val="815"/>
    <w:uiPriority w:val="35"/>
    <w:unhideWhenUsed/>
    <w:qFormat/>
    <w:pPr>
      <w:pBdr/>
      <w:spacing w:after="200" w:line="240" w:lineRule="auto"/>
      <w:ind/>
    </w:pPr>
    <w:rPr>
      <w:i/>
      <w:iCs/>
      <w:color w:val="0e2841" w:themeColor="text2"/>
      <w:sz w:val="18"/>
      <w:szCs w:val="18"/>
    </w:rPr>
  </w:style>
  <w:style w:type="paragraph" w:styleId="181">
    <w:name w:val="footnote text"/>
    <w:basedOn w:val="815"/>
    <w:link w:val="182"/>
    <w:uiPriority w:val="99"/>
    <w:semiHidden/>
    <w:unhideWhenUsed/>
    <w:pPr>
      <w:pBdr/>
      <w:spacing w:after="0" w:line="240" w:lineRule="auto"/>
      <w:ind/>
    </w:pPr>
    <w:rPr>
      <w:sz w:val="20"/>
      <w:szCs w:val="20"/>
    </w:rPr>
  </w:style>
  <w:style w:type="character" w:styleId="182">
    <w:name w:val="Footnote Text Char"/>
    <w:basedOn w:val="825"/>
    <w:link w:val="181"/>
    <w:uiPriority w:val="99"/>
    <w:semiHidden/>
    <w:pPr>
      <w:pBdr/>
      <w:spacing/>
      <w:ind/>
    </w:pPr>
    <w:rPr>
      <w:sz w:val="20"/>
      <w:szCs w:val="20"/>
    </w:rPr>
  </w:style>
  <w:style w:type="character" w:styleId="183">
    <w:name w:val="footnote reference"/>
    <w:basedOn w:val="825"/>
    <w:uiPriority w:val="99"/>
    <w:semiHidden/>
    <w:unhideWhenUsed/>
    <w:pPr>
      <w:pBdr/>
      <w:spacing/>
      <w:ind/>
    </w:pPr>
    <w:rPr>
      <w:vertAlign w:val="superscript"/>
    </w:rPr>
  </w:style>
  <w:style w:type="paragraph" w:styleId="184">
    <w:name w:val="endnote text"/>
    <w:basedOn w:val="815"/>
    <w:link w:val="185"/>
    <w:uiPriority w:val="99"/>
    <w:semiHidden/>
    <w:unhideWhenUsed/>
    <w:pPr>
      <w:pBdr/>
      <w:spacing w:after="0" w:line="240" w:lineRule="auto"/>
      <w:ind/>
    </w:pPr>
    <w:rPr>
      <w:sz w:val="20"/>
      <w:szCs w:val="20"/>
    </w:rPr>
  </w:style>
  <w:style w:type="character" w:styleId="185">
    <w:name w:val="Endnote Text Char"/>
    <w:basedOn w:val="825"/>
    <w:link w:val="184"/>
    <w:uiPriority w:val="99"/>
    <w:semiHidden/>
    <w:pPr>
      <w:pBdr/>
      <w:spacing/>
      <w:ind/>
    </w:pPr>
    <w:rPr>
      <w:sz w:val="20"/>
      <w:szCs w:val="20"/>
    </w:rPr>
  </w:style>
  <w:style w:type="character" w:styleId="186">
    <w:name w:val="endnote reference"/>
    <w:basedOn w:val="825"/>
    <w:uiPriority w:val="99"/>
    <w:semiHidden/>
    <w:unhideWhenUsed/>
    <w:pPr>
      <w:pBdr/>
      <w:spacing/>
      <w:ind/>
    </w:pPr>
    <w:rPr>
      <w:vertAlign w:val="superscript"/>
    </w:rPr>
  </w:style>
  <w:style w:type="paragraph" w:styleId="189">
    <w:name w:val="toc 1"/>
    <w:basedOn w:val="815"/>
    <w:next w:val="815"/>
    <w:uiPriority w:val="39"/>
    <w:unhideWhenUsed/>
    <w:pPr>
      <w:pBdr/>
      <w:spacing w:after="100"/>
      <w:ind/>
    </w:pPr>
  </w:style>
  <w:style w:type="paragraph" w:styleId="190">
    <w:name w:val="toc 2"/>
    <w:basedOn w:val="815"/>
    <w:next w:val="815"/>
    <w:uiPriority w:val="39"/>
    <w:unhideWhenUsed/>
    <w:pPr>
      <w:pBdr/>
      <w:spacing w:after="100"/>
      <w:ind w:left="220"/>
    </w:pPr>
  </w:style>
  <w:style w:type="paragraph" w:styleId="191">
    <w:name w:val="toc 3"/>
    <w:basedOn w:val="815"/>
    <w:next w:val="815"/>
    <w:uiPriority w:val="39"/>
    <w:unhideWhenUsed/>
    <w:pPr>
      <w:pBdr/>
      <w:spacing w:after="100"/>
      <w:ind w:left="440"/>
    </w:pPr>
  </w:style>
  <w:style w:type="paragraph" w:styleId="192">
    <w:name w:val="toc 4"/>
    <w:basedOn w:val="815"/>
    <w:next w:val="815"/>
    <w:uiPriority w:val="39"/>
    <w:unhideWhenUsed/>
    <w:pPr>
      <w:pBdr/>
      <w:spacing w:after="100"/>
      <w:ind w:left="660"/>
    </w:pPr>
  </w:style>
  <w:style w:type="paragraph" w:styleId="193">
    <w:name w:val="toc 5"/>
    <w:basedOn w:val="815"/>
    <w:next w:val="815"/>
    <w:uiPriority w:val="39"/>
    <w:unhideWhenUsed/>
    <w:pPr>
      <w:pBdr/>
      <w:spacing w:after="100"/>
      <w:ind w:left="880"/>
    </w:pPr>
  </w:style>
  <w:style w:type="paragraph" w:styleId="194">
    <w:name w:val="toc 6"/>
    <w:basedOn w:val="815"/>
    <w:next w:val="815"/>
    <w:uiPriority w:val="39"/>
    <w:unhideWhenUsed/>
    <w:pPr>
      <w:pBdr/>
      <w:spacing w:after="100"/>
      <w:ind w:left="1100"/>
    </w:pPr>
  </w:style>
  <w:style w:type="paragraph" w:styleId="195">
    <w:name w:val="toc 7"/>
    <w:basedOn w:val="815"/>
    <w:next w:val="815"/>
    <w:uiPriority w:val="39"/>
    <w:unhideWhenUsed/>
    <w:pPr>
      <w:pBdr/>
      <w:spacing w:after="100"/>
      <w:ind w:left="1320"/>
    </w:pPr>
  </w:style>
  <w:style w:type="paragraph" w:styleId="196">
    <w:name w:val="toc 8"/>
    <w:basedOn w:val="815"/>
    <w:next w:val="815"/>
    <w:uiPriority w:val="39"/>
    <w:unhideWhenUsed/>
    <w:pPr>
      <w:pBdr/>
      <w:spacing w:after="100"/>
      <w:ind w:left="1540"/>
    </w:pPr>
  </w:style>
  <w:style w:type="paragraph" w:styleId="197">
    <w:name w:val="toc 9"/>
    <w:basedOn w:val="815"/>
    <w:next w:val="815"/>
    <w:uiPriority w:val="39"/>
    <w:unhideWhenUsed/>
    <w:pPr>
      <w:pBdr/>
      <w:spacing w:after="100"/>
      <w:ind w:left="1760"/>
    </w:pPr>
  </w:style>
  <w:style w:type="character" w:styleId="198">
    <w:name w:val="Placeholder Text"/>
    <w:basedOn w:val="82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15"/>
    <w:next w:val="815"/>
    <w:uiPriority w:val="99"/>
    <w:unhideWhenUsed/>
    <w:pPr>
      <w:pBdr/>
      <w:spacing w:after="0" w:afterAutospacing="0"/>
      <w:ind/>
    </w:pPr>
  </w:style>
  <w:style w:type="paragraph" w:styleId="815" w:default="1">
    <w:name w:val="Normal"/>
    <w:qFormat/>
    <w:pPr>
      <w:pBdr/>
      <w:spacing/>
      <w:ind/>
    </w:pPr>
  </w:style>
  <w:style w:type="paragraph" w:styleId="816">
    <w:name w:val="Heading 1"/>
    <w:basedOn w:val="815"/>
    <w:next w:val="815"/>
    <w:link w:val="828"/>
    <w:uiPriority w:val="9"/>
    <w:qFormat/>
    <w:pPr>
      <w:keepNext w:val="true"/>
      <w:keepLines w:val="true"/>
      <w:pBdr/>
      <w:spacing w:after="80" w:before="360"/>
      <w:ind/>
      <w:outlineLvl w:val="0"/>
    </w:pPr>
    <w:rPr>
      <w:rFonts w:asciiTheme="majorHAnsi" w:hAnsiTheme="majorHAnsi" w:eastAsiaTheme="majorEastAsia" w:cstheme="majorBidi"/>
      <w:color w:val="2f5496" w:themeColor="accent1" w:themeShade="BF"/>
      <w:sz w:val="40"/>
      <w:szCs w:val="40"/>
    </w:rPr>
  </w:style>
  <w:style w:type="paragraph" w:styleId="817">
    <w:name w:val="Heading 2"/>
    <w:basedOn w:val="815"/>
    <w:next w:val="815"/>
    <w:link w:val="829"/>
    <w:uiPriority w:val="9"/>
    <w:semiHidden/>
    <w:unhideWhenUsed/>
    <w:qFormat/>
    <w:pPr>
      <w:keepNext w:val="true"/>
      <w:keepLines w:val="true"/>
      <w:pBdr/>
      <w:spacing w:after="80" w:before="160"/>
      <w:ind/>
      <w:outlineLvl w:val="1"/>
    </w:pPr>
    <w:rPr>
      <w:rFonts w:asciiTheme="majorHAnsi" w:hAnsiTheme="majorHAnsi" w:eastAsiaTheme="majorEastAsia" w:cstheme="majorBidi"/>
      <w:color w:val="2f5496" w:themeColor="accent1" w:themeShade="BF"/>
      <w:sz w:val="32"/>
      <w:szCs w:val="32"/>
    </w:rPr>
  </w:style>
  <w:style w:type="paragraph" w:styleId="818">
    <w:name w:val="Heading 3"/>
    <w:basedOn w:val="815"/>
    <w:next w:val="815"/>
    <w:link w:val="830"/>
    <w:uiPriority w:val="9"/>
    <w:semiHidden/>
    <w:unhideWhenUsed/>
    <w:qFormat/>
    <w:pPr>
      <w:keepNext w:val="true"/>
      <w:keepLines w:val="true"/>
      <w:pBdr/>
      <w:spacing w:after="80" w:before="160"/>
      <w:ind/>
      <w:outlineLvl w:val="2"/>
    </w:pPr>
    <w:rPr>
      <w:rFonts w:eastAsiaTheme="majorEastAsia" w:cstheme="majorBidi"/>
      <w:color w:val="2f5496" w:themeColor="accent1" w:themeShade="BF"/>
      <w:sz w:val="28"/>
      <w:szCs w:val="28"/>
    </w:rPr>
  </w:style>
  <w:style w:type="paragraph" w:styleId="819">
    <w:name w:val="Heading 4"/>
    <w:basedOn w:val="815"/>
    <w:next w:val="815"/>
    <w:link w:val="831"/>
    <w:uiPriority w:val="9"/>
    <w:semiHidden/>
    <w:unhideWhenUsed/>
    <w:qFormat/>
    <w:pPr>
      <w:keepNext w:val="true"/>
      <w:keepLines w:val="true"/>
      <w:pBdr/>
      <w:spacing w:after="40" w:before="80"/>
      <w:ind/>
      <w:outlineLvl w:val="3"/>
    </w:pPr>
    <w:rPr>
      <w:rFonts w:eastAsiaTheme="majorEastAsia" w:cstheme="majorBidi"/>
      <w:i/>
      <w:iCs/>
      <w:color w:val="2f5496" w:themeColor="accent1" w:themeShade="BF"/>
    </w:rPr>
  </w:style>
  <w:style w:type="paragraph" w:styleId="820">
    <w:name w:val="Heading 5"/>
    <w:basedOn w:val="815"/>
    <w:next w:val="815"/>
    <w:link w:val="832"/>
    <w:uiPriority w:val="9"/>
    <w:semiHidden/>
    <w:unhideWhenUsed/>
    <w:qFormat/>
    <w:pPr>
      <w:keepNext w:val="true"/>
      <w:keepLines w:val="true"/>
      <w:pBdr/>
      <w:spacing w:after="40" w:before="80"/>
      <w:ind/>
      <w:outlineLvl w:val="4"/>
    </w:pPr>
    <w:rPr>
      <w:rFonts w:eastAsiaTheme="majorEastAsia" w:cstheme="majorBidi"/>
      <w:color w:val="2f5496" w:themeColor="accent1" w:themeShade="BF"/>
    </w:rPr>
  </w:style>
  <w:style w:type="paragraph" w:styleId="821">
    <w:name w:val="Heading 6"/>
    <w:basedOn w:val="815"/>
    <w:next w:val="815"/>
    <w:link w:val="833"/>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822">
    <w:name w:val="Heading 7"/>
    <w:basedOn w:val="815"/>
    <w:next w:val="815"/>
    <w:link w:val="834"/>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823">
    <w:name w:val="Heading 8"/>
    <w:basedOn w:val="815"/>
    <w:next w:val="815"/>
    <w:link w:val="835"/>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824">
    <w:name w:val="Heading 9"/>
    <w:basedOn w:val="815"/>
    <w:next w:val="815"/>
    <w:link w:val="836"/>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825" w:default="1">
    <w:name w:val="Default Paragraph Font"/>
    <w:uiPriority w:val="1"/>
    <w:semiHidden/>
    <w:unhideWhenUsed/>
    <w:pPr>
      <w:pBdr/>
      <w:spacing/>
      <w:ind/>
    </w:pPr>
  </w:style>
  <w:style w:type="table" w:styleId="82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27" w:default="1">
    <w:name w:val="No List"/>
    <w:uiPriority w:val="99"/>
    <w:semiHidden/>
    <w:unhideWhenUsed/>
    <w:pPr>
      <w:pBdr/>
      <w:spacing/>
      <w:ind/>
    </w:pPr>
  </w:style>
  <w:style w:type="character" w:styleId="828" w:customStyle="1">
    <w:name w:val="Titolo 1 Carattere"/>
    <w:basedOn w:val="825"/>
    <w:link w:val="816"/>
    <w:uiPriority w:val="9"/>
    <w:pPr>
      <w:pBdr/>
      <w:spacing/>
      <w:ind/>
    </w:pPr>
    <w:rPr>
      <w:rFonts w:asciiTheme="majorHAnsi" w:hAnsiTheme="majorHAnsi" w:eastAsiaTheme="majorEastAsia" w:cstheme="majorBidi"/>
      <w:color w:val="2f5496" w:themeColor="accent1" w:themeShade="BF"/>
      <w:sz w:val="40"/>
      <w:szCs w:val="40"/>
    </w:rPr>
  </w:style>
  <w:style w:type="character" w:styleId="829" w:customStyle="1">
    <w:name w:val="Titolo 2 Carattere"/>
    <w:basedOn w:val="825"/>
    <w:link w:val="817"/>
    <w:uiPriority w:val="9"/>
    <w:semiHidden/>
    <w:pPr>
      <w:pBdr/>
      <w:spacing/>
      <w:ind/>
    </w:pPr>
    <w:rPr>
      <w:rFonts w:asciiTheme="majorHAnsi" w:hAnsiTheme="majorHAnsi" w:eastAsiaTheme="majorEastAsia" w:cstheme="majorBidi"/>
      <w:color w:val="2f5496" w:themeColor="accent1" w:themeShade="BF"/>
      <w:sz w:val="32"/>
      <w:szCs w:val="32"/>
    </w:rPr>
  </w:style>
  <w:style w:type="character" w:styleId="830" w:customStyle="1">
    <w:name w:val="Titolo 3 Carattere"/>
    <w:basedOn w:val="825"/>
    <w:link w:val="818"/>
    <w:uiPriority w:val="9"/>
    <w:semiHidden/>
    <w:pPr>
      <w:pBdr/>
      <w:spacing/>
      <w:ind/>
    </w:pPr>
    <w:rPr>
      <w:rFonts w:eastAsiaTheme="majorEastAsia" w:cstheme="majorBidi"/>
      <w:color w:val="2f5496" w:themeColor="accent1" w:themeShade="BF"/>
      <w:sz w:val="28"/>
      <w:szCs w:val="28"/>
    </w:rPr>
  </w:style>
  <w:style w:type="character" w:styleId="831" w:customStyle="1">
    <w:name w:val="Titolo 4 Carattere"/>
    <w:basedOn w:val="825"/>
    <w:link w:val="819"/>
    <w:uiPriority w:val="9"/>
    <w:semiHidden/>
    <w:pPr>
      <w:pBdr/>
      <w:spacing/>
      <w:ind/>
    </w:pPr>
    <w:rPr>
      <w:rFonts w:eastAsiaTheme="majorEastAsia" w:cstheme="majorBidi"/>
      <w:i/>
      <w:iCs/>
      <w:color w:val="2f5496" w:themeColor="accent1" w:themeShade="BF"/>
    </w:rPr>
  </w:style>
  <w:style w:type="character" w:styleId="832" w:customStyle="1">
    <w:name w:val="Titolo 5 Carattere"/>
    <w:basedOn w:val="825"/>
    <w:link w:val="820"/>
    <w:uiPriority w:val="9"/>
    <w:semiHidden/>
    <w:pPr>
      <w:pBdr/>
      <w:spacing/>
      <w:ind/>
    </w:pPr>
    <w:rPr>
      <w:rFonts w:eastAsiaTheme="majorEastAsia" w:cstheme="majorBidi"/>
      <w:color w:val="2f5496" w:themeColor="accent1" w:themeShade="BF"/>
    </w:rPr>
  </w:style>
  <w:style w:type="character" w:styleId="833" w:customStyle="1">
    <w:name w:val="Titolo 6 Carattere"/>
    <w:basedOn w:val="825"/>
    <w:link w:val="821"/>
    <w:uiPriority w:val="9"/>
    <w:semiHidden/>
    <w:pPr>
      <w:pBdr/>
      <w:spacing/>
      <w:ind/>
    </w:pPr>
    <w:rPr>
      <w:rFonts w:eastAsiaTheme="majorEastAsia" w:cstheme="majorBidi"/>
      <w:i/>
      <w:iCs/>
      <w:color w:val="595959" w:themeColor="text1" w:themeTint="A6"/>
    </w:rPr>
  </w:style>
  <w:style w:type="character" w:styleId="834" w:customStyle="1">
    <w:name w:val="Titolo 7 Carattere"/>
    <w:basedOn w:val="825"/>
    <w:link w:val="822"/>
    <w:uiPriority w:val="9"/>
    <w:semiHidden/>
    <w:pPr>
      <w:pBdr/>
      <w:spacing/>
      <w:ind/>
    </w:pPr>
    <w:rPr>
      <w:rFonts w:eastAsiaTheme="majorEastAsia" w:cstheme="majorBidi"/>
      <w:color w:val="595959" w:themeColor="text1" w:themeTint="A6"/>
    </w:rPr>
  </w:style>
  <w:style w:type="character" w:styleId="835" w:customStyle="1">
    <w:name w:val="Titolo 8 Carattere"/>
    <w:basedOn w:val="825"/>
    <w:link w:val="823"/>
    <w:uiPriority w:val="9"/>
    <w:semiHidden/>
    <w:pPr>
      <w:pBdr/>
      <w:spacing/>
      <w:ind/>
    </w:pPr>
    <w:rPr>
      <w:rFonts w:eastAsiaTheme="majorEastAsia" w:cstheme="majorBidi"/>
      <w:i/>
      <w:iCs/>
      <w:color w:val="272727" w:themeColor="text1" w:themeTint="D8"/>
    </w:rPr>
  </w:style>
  <w:style w:type="character" w:styleId="836" w:customStyle="1">
    <w:name w:val="Titolo 9 Carattere"/>
    <w:basedOn w:val="825"/>
    <w:link w:val="824"/>
    <w:uiPriority w:val="9"/>
    <w:semiHidden/>
    <w:pPr>
      <w:pBdr/>
      <w:spacing/>
      <w:ind/>
    </w:pPr>
    <w:rPr>
      <w:rFonts w:eastAsiaTheme="majorEastAsia" w:cstheme="majorBidi"/>
      <w:color w:val="272727" w:themeColor="text1" w:themeTint="D8"/>
    </w:rPr>
  </w:style>
  <w:style w:type="paragraph" w:styleId="837">
    <w:name w:val="Title"/>
    <w:basedOn w:val="815"/>
    <w:next w:val="815"/>
    <w:link w:val="838"/>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838" w:customStyle="1">
    <w:name w:val="Titolo Carattere"/>
    <w:basedOn w:val="825"/>
    <w:link w:val="837"/>
    <w:uiPriority w:val="10"/>
    <w:pPr>
      <w:pBdr/>
      <w:spacing/>
      <w:ind/>
    </w:pPr>
    <w:rPr>
      <w:rFonts w:asciiTheme="majorHAnsi" w:hAnsiTheme="majorHAnsi" w:eastAsiaTheme="majorEastAsia" w:cstheme="majorBidi"/>
      <w:spacing w:val="-10"/>
      <w:sz w:val="56"/>
      <w:szCs w:val="56"/>
    </w:rPr>
  </w:style>
  <w:style w:type="paragraph" w:styleId="839">
    <w:name w:val="Subtitle"/>
    <w:basedOn w:val="815"/>
    <w:next w:val="815"/>
    <w:link w:val="840"/>
    <w:uiPriority w:val="11"/>
    <w:qFormat/>
    <w:pPr>
      <w:numPr>
        <w:ilvl w:val="1"/>
      </w:numPr>
      <w:pBdr/>
      <w:spacing/>
      <w:ind/>
    </w:pPr>
    <w:rPr>
      <w:rFonts w:eastAsiaTheme="majorEastAsia" w:cstheme="majorBidi"/>
      <w:color w:val="595959" w:themeColor="text1" w:themeTint="A6"/>
      <w:spacing w:val="15"/>
      <w:sz w:val="28"/>
      <w:szCs w:val="28"/>
    </w:rPr>
  </w:style>
  <w:style w:type="character" w:styleId="840" w:customStyle="1">
    <w:name w:val="Sottotitolo Carattere"/>
    <w:basedOn w:val="825"/>
    <w:link w:val="839"/>
    <w:uiPriority w:val="11"/>
    <w:pPr>
      <w:pBdr/>
      <w:spacing/>
      <w:ind/>
    </w:pPr>
    <w:rPr>
      <w:rFonts w:eastAsiaTheme="majorEastAsia" w:cstheme="majorBidi"/>
      <w:color w:val="595959" w:themeColor="text1" w:themeTint="A6"/>
      <w:spacing w:val="15"/>
      <w:sz w:val="28"/>
      <w:szCs w:val="28"/>
    </w:rPr>
  </w:style>
  <w:style w:type="paragraph" w:styleId="841">
    <w:name w:val="Quote"/>
    <w:basedOn w:val="815"/>
    <w:next w:val="815"/>
    <w:link w:val="842"/>
    <w:uiPriority w:val="29"/>
    <w:qFormat/>
    <w:pPr>
      <w:pBdr/>
      <w:spacing w:before="160"/>
      <w:ind/>
      <w:jc w:val="center"/>
    </w:pPr>
    <w:rPr>
      <w:i/>
      <w:iCs/>
      <w:color w:val="404040" w:themeColor="text1" w:themeTint="BF"/>
    </w:rPr>
  </w:style>
  <w:style w:type="character" w:styleId="842" w:customStyle="1">
    <w:name w:val="Citazione Carattere"/>
    <w:basedOn w:val="825"/>
    <w:link w:val="841"/>
    <w:uiPriority w:val="29"/>
    <w:pPr>
      <w:pBdr/>
      <w:spacing/>
      <w:ind/>
    </w:pPr>
    <w:rPr>
      <w:i/>
      <w:iCs/>
      <w:color w:val="404040" w:themeColor="text1" w:themeTint="BF"/>
    </w:rPr>
  </w:style>
  <w:style w:type="paragraph" w:styleId="843">
    <w:name w:val="List Paragraph"/>
    <w:basedOn w:val="815"/>
    <w:uiPriority w:val="34"/>
    <w:qFormat/>
    <w:pPr>
      <w:pBdr/>
      <w:spacing/>
      <w:ind w:left="720"/>
      <w:contextualSpacing w:val="true"/>
    </w:pPr>
  </w:style>
  <w:style w:type="character" w:styleId="844">
    <w:name w:val="Intense Emphasis"/>
    <w:basedOn w:val="825"/>
    <w:uiPriority w:val="21"/>
    <w:qFormat/>
    <w:pPr>
      <w:pBdr/>
      <w:spacing/>
      <w:ind/>
    </w:pPr>
    <w:rPr>
      <w:i/>
      <w:iCs/>
      <w:color w:val="2f5496" w:themeColor="accent1" w:themeShade="BF"/>
    </w:rPr>
  </w:style>
  <w:style w:type="paragraph" w:styleId="845">
    <w:name w:val="Intense Quote"/>
    <w:basedOn w:val="815"/>
    <w:next w:val="815"/>
    <w:link w:val="846"/>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846" w:customStyle="1">
    <w:name w:val="Citazione intensa Carattere"/>
    <w:basedOn w:val="825"/>
    <w:link w:val="845"/>
    <w:uiPriority w:val="30"/>
    <w:pPr>
      <w:pBdr/>
      <w:spacing/>
      <w:ind/>
    </w:pPr>
    <w:rPr>
      <w:i/>
      <w:iCs/>
      <w:color w:val="2f5496" w:themeColor="accent1" w:themeShade="BF"/>
    </w:rPr>
  </w:style>
  <w:style w:type="character" w:styleId="847">
    <w:name w:val="Intense Reference"/>
    <w:basedOn w:val="825"/>
    <w:uiPriority w:val="32"/>
    <w:qFormat/>
    <w:pPr>
      <w:pBdr/>
      <w:spacing/>
      <w:ind/>
    </w:pPr>
    <w:rPr>
      <w:b/>
      <w:bCs/>
      <w:smallCaps/>
      <w:color w:val="2f5496" w:themeColor="accent1" w:themeShade="BF"/>
      <w:spacing w:val="5"/>
    </w:rPr>
  </w:style>
  <w:style w:type="character" w:styleId="848">
    <w:name w:val="Hyperlink"/>
    <w:basedOn w:val="825"/>
    <w:uiPriority w:val="99"/>
    <w:unhideWhenUsed/>
    <w:pPr>
      <w:pBdr/>
      <w:spacing/>
      <w:ind/>
    </w:pPr>
    <w:rPr>
      <w:color w:val="0563c1" w:themeColor="hyperlink"/>
      <w:u w:val="single"/>
    </w:rPr>
  </w:style>
  <w:style w:type="character" w:styleId="849" w:customStyle="1">
    <w:name w:val="Unresolved Mention"/>
    <w:basedOn w:val="825"/>
    <w:uiPriority w:val="99"/>
    <w:semiHidden/>
    <w:unhideWhenUsed/>
    <w:pPr>
      <w:pBdr/>
      <w:spacing/>
      <w:ind/>
    </w:pPr>
    <w:rPr>
      <w:color w:val="605e5c"/>
      <w:shd w:val="clear" w:color="auto" w:fill="e1dfdd"/>
    </w:rPr>
  </w:style>
  <w:style w:type="paragraph" w:styleId="850">
    <w:name w:val="Header"/>
    <w:basedOn w:val="815"/>
    <w:link w:val="851"/>
    <w:uiPriority w:val="99"/>
    <w:unhideWhenUsed/>
    <w:pPr>
      <w:pBdr/>
      <w:tabs>
        <w:tab w:val="center" w:leader="none" w:pos="4819"/>
        <w:tab w:val="right" w:leader="none" w:pos="9638"/>
      </w:tabs>
      <w:spacing w:after="0" w:line="240" w:lineRule="auto"/>
      <w:ind/>
    </w:pPr>
  </w:style>
  <w:style w:type="character" w:styleId="851" w:customStyle="1">
    <w:name w:val="Intestazione Carattere"/>
    <w:basedOn w:val="825"/>
    <w:link w:val="850"/>
    <w:uiPriority w:val="99"/>
    <w:pPr>
      <w:pBdr/>
      <w:spacing/>
      <w:ind/>
    </w:pPr>
  </w:style>
  <w:style w:type="paragraph" w:styleId="852">
    <w:name w:val="Footer"/>
    <w:basedOn w:val="815"/>
    <w:link w:val="853"/>
    <w:uiPriority w:val="99"/>
    <w:unhideWhenUsed/>
    <w:pPr>
      <w:pBdr/>
      <w:tabs>
        <w:tab w:val="center" w:leader="none" w:pos="4819"/>
        <w:tab w:val="right" w:leader="none" w:pos="9638"/>
      </w:tabs>
      <w:spacing w:after="0" w:line="240" w:lineRule="auto"/>
      <w:ind/>
    </w:pPr>
  </w:style>
  <w:style w:type="character" w:styleId="853" w:customStyle="1">
    <w:name w:val="Piè di pagina Carattere"/>
    <w:basedOn w:val="825"/>
    <w:link w:val="852"/>
    <w:uiPriority w:val="99"/>
    <w:pPr>
      <w:pBdr/>
      <w:spacing/>
      <w:ind/>
    </w:pPr>
  </w:style>
  <w:style w:type="character" w:styleId="854">
    <w:name w:val="FollowedHyperlink"/>
    <w:basedOn w:val="825"/>
    <w:uiPriority w:val="99"/>
    <w:semiHidden/>
    <w:unhideWhenUsed/>
    <w:pPr>
      <w:pBdr/>
      <w:spacing/>
      <w:ind/>
    </w:pPr>
    <w:rPr>
      <w:color w:val="954f72" w:themeColor="followed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 Id="rId16" Type="http://schemas.openxmlformats.org/officeDocument/2006/relationships/hyperlink" Target="mailto:protocollogenerale.comune.monteroni@pec.rupar.puglia.it"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protocollogenerale.comune.monteroni@pec.rupar.puglia.it" TargetMode="External"/></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A1274-5EF7-6746-B43C-E0AAF7C7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Giannì</dc:creator>
  <cp:keywords/>
  <dc:description/>
  <cp:revision>16</cp:revision>
  <dcterms:created xsi:type="dcterms:W3CDTF">2026-07-28T14:25:00Z</dcterms:created>
  <dcterms:modified xsi:type="dcterms:W3CDTF">2026-07-31T11:09:11Z</dcterms:modified>
</cp:coreProperties>
</file>